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平成六年度における旧令による共済組合等からの年金受給者のための特別措置法等の規定による年金の額の改定に関する政令</w:t>
        <w:br/>
        <w:t>（平成六年政令第二百三十一号）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平成五年度改定令</w:t>
      </w:r>
    </w:p>
    <w:p>
      <w:pPr>
        <w:pStyle w:val="Heading6"/>
        <w:ind w:left="880"/>
      </w:pPr>
      <w:r>
        <w:t>五</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六年四月分以後、その額を、平成五年度改定令第二条の規定により改定された年金額の算定の基礎となっている平成五年度改定令別表第一の仮定俸給（同条第四項、第九項又は第十項の規定により同条第四項各号に定める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次の各号に掲げる年金については、前三項の規定の適用を受けて改定された額が当該各号に定める額に満たないときは、平成六年四月分以後、その額を、当該各号に定める額に改定する。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六年四月分から同年九月分までにおいては、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Heading6"/>
        <w:ind w:left="880"/>
      </w:pPr>
      <w:r>
        <w:t>二</w:t>
      </w:r>
    </w:p>
    <w:p>
      <w:pPr>
        <w:ind w:left="880"/>
      </w:pPr>
      <w:r>
        <w:t>国家公務員等共済組合法施行令（昭和三十三年政令第二百七号）第十一条の七の五各号に掲げる年金</w:t>
      </w:r>
    </w:p>
    <w:p>
      <w:pPr>
        <w:pStyle w:val="Heading5"/>
        <w:ind w:left="440"/>
      </w:pPr>
      <w:r>
        <w:t>８</w:t>
      </w:r>
    </w:p>
    <w:p>
      <w:pPr>
        <w:ind w:left="440"/>
      </w:pPr>
      <w:r>
        <w:t>第一項から第四項までの規定の適用を受ける年金を受ける者が旧法の規定による遺族年金に相当する年金を受ける妻であり、かつ、次の各号のいずれかに該当する場合には、平成六年十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９</w:t>
      </w:r>
    </w:p>
    <w:p>
      <w:pPr>
        <w:ind w:left="440"/>
      </w:pPr>
      <w:r>
        <w:t>第六項の規定は、前項の規定の適用を受ける年金を受ける者について準用する。</w:t>
      </w:r>
    </w:p>
    <w:p>
      <w:pPr>
        <w:pStyle w:val="Heading5"/>
        <w:ind w:left="440"/>
      </w:pPr>
      <w:r>
        <w:t>10</w:t>
      </w:r>
    </w:p>
    <w:p>
      <w:pPr>
        <w:ind w:left="440"/>
      </w:pPr>
      <w:r>
        <w:t>第八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第七項各号に掲げる年金である給付（その全額の支給を停止されているものを除く。）の支給を受けることができるときは、その受けることができる間は、第八項の規定による加算は行わない。</w:t>
      </w:r>
    </w:p>
    <w:p>
      <w:pPr>
        <w:pStyle w:val="Heading5"/>
        <w:ind w:left="440"/>
      </w:pPr>
      <w:r>
        <w:t>11</w:t>
      </w:r>
    </w:p>
    <w:p>
      <w:pPr>
        <w:ind w:left="440"/>
      </w:pPr>
      <w:r>
        <w:t>前項ただし書の場合における第八項の規定の適用については、同項の規定により当該旧法の規定による遺族年金に相当する年金の額に加算されるべき額は、同項の規定にかかわらず、七十八万円から当該旧法の規定による遺族年金に相当する年金の額を控除した額とする。</w:t>
      </w:r>
    </w:p>
    <w:p>
      <w:pPr>
        <w:pStyle w:val="Heading5"/>
        <w:ind w:left="440"/>
      </w:pPr>
      <w:r>
        <w:t>12</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六年四月分以後、その額を、平成五年度改定令第三条の規定により改定された年金額の算定の基礎となっている平成五年度改定令別表第一の仮定俸給（同条第三項の規定又は同条第九項において準用する平成五年度改定令第二条第十項の規定により平成五年度改定令第三条第三項各号に定める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次の各号に掲げる年金については、前二項の規定の適用を受けて改定された額が当該各号に定める額に満たないときは、平成六年四月分以後、その額を、当該各号に定める額に改定する。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二万九千九百円（平成六年四月分から同年九月分までにおいては、十二万三千九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扶養遺族一人につき二万四千円（そのうち二人までについては、一人につき六万六千円）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前条第十二項の規定は、公務傷病年金、殉職年金又は公務傷病遺族年金を受ける者で、前各項の規定のうち年齢特例規定に規定する年齢に達していないものについて準用する。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六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六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第二条第二項から第十二項までの規定は第一項の規定の適用を受ける年金について、第三条第二項から第八項までの規定は第二項の規定の適用を受ける年金について、それぞれ準用する。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　則（平成六年一一月三〇日政令第三七五号）</w:t>
      </w:r>
    </w:p>
    <w:p>
      <w:r>
        <w:t>この政令は、公布の日から施行し、改正後の平成六年度における旧令による共済組合等からの年金受給者のための特別措置法等の規定による年金の額の改定に関する政令の規定は、平成六年十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平成六年度における旧令による共済組合等からの年金受給者のための特別措置法等の規定による年金の額の改定に関する政令</w:t>
      <w:br/>
      <w:tab/>
      <w:t>（平成六年政令第二百三十一号）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平成六年度における旧令による共済組合等からの年金受給者のための特別措置法等の規定による年金の額の改定に関する政令（平成六年政令第二百三十一号）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