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平成十一年度における旧令による共済組合等からの年金受給者のための特別措置法等の規定による年金の額の改定に関する政令</w:t>
        <w:br/>
        <w:t>（平成十一年政令第百六十九号）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平成十年度改定令</w:t>
      </w:r>
    </w:p>
    <w:p>
      <w:pPr>
        <w:pStyle w:val="Heading6"/>
        <w:ind w:left="880"/>
      </w:pPr>
      <w:r>
        <w:t>五</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十一年四月分以後、その額を、平成十年度改定令第二条の規定により改定された年金額の算定の基礎となっている平成十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次の各号に掲げる年金については、前三項の規定の適用を受けて改定された額が当該各号に定める額に満たないときは、平成十一年四月分以後、その額を、当該各号に定める額に改定する。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十一年四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国家公務員共済組合法による退職共済年金のうち、その年金の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w:t>
      </w:r>
    </w:p>
    <w:p>
      <w:pPr>
        <w:pStyle w:val="Heading6"/>
        <w:ind w:left="880"/>
      </w:pPr>
      <w:r>
        <w:t>二</w:t>
      </w:r>
    </w:p>
    <w:p>
      <w:pPr>
        <w:ind w:left="880"/>
      </w:pPr>
      <w:r>
        <w:t>国家公務員共済組合法による障害共済年金</w:t>
      </w:r>
    </w:p>
    <w:p>
      <w:pPr>
        <w:pStyle w:val="Heading6"/>
        <w:ind w:left="880"/>
      </w:pPr>
      <w:r>
        <w:t>三</w:t>
      </w:r>
    </w:p>
    <w:p>
      <w:pPr>
        <w:ind w:left="880"/>
      </w:pPr>
      <w:r>
        <w:t>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八十一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十一年四月分以後、その額を、平成十年度改定令第三条の規定により改定された年金額の算定の基礎となっている平成十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次の各号に掲げる年金については、前二項の規定の適用を受けて改定された額が当該各号に定める額に満たないときは、平成十一年四月分以後、その額を、当該各号に定める額に改定する。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九千七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三千二百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扶養遺族一人につき二万四千円（そのうち二人までについては、一人につき六万六千円）</w:t>
      </w:r>
    </w:p>
    <w:p>
      <w:pPr>
        <w:pStyle w:val="Heading6"/>
        <w:ind w:left="880"/>
      </w:pPr>
      <w:r>
        <w:t>二</w:t>
      </w:r>
    </w:p>
    <w:p>
      <w:pPr>
        <w:ind w:left="880"/>
      </w:pPr>
      <w: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第五条（存続組合である日本鉄道共済組合等が支給する旧法による年金の額の改定の特例）</w:t>
      </w:r>
    </w:p>
    <w:p>
      <w:r>
        <w:t>厚生年金保険法等の一部を改正する法律（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十一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十一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第五条の規定による年金額の改定により増加する費用は、日本鉄道建設公団が負担する。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平成十一年度における旧令による共済組合等からの年金受給者のための特別措置法等の規定による年金の額の改定に関する政令</w:t>
      <w:br/>
      <w:tab/>
      <w:t>（平成十一年政令第百六十九号）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平成十一年度における旧令による共済組合等からの年金受給者のための特別措置法等の規定による年金の額の改定に関する政令（平成十一年政令第百六十九号）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