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平成十一年度における旧私立学校教職員共済組合法の規定による年金等の額の改定に関する政令</w:t>
        <w:br/>
        <w:t>（平成十一年政令第百七十二号）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一年四月分以後、その額を、平成十年度における旧私立学校教職員共済組合法の規定による年金等の額の改定に関する政令（平成十年政令第二百二号）第一条第一項の規定による年金の額の改定の基礎となった平均標準給与の月額に一・〇〇七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十一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r>
    </w:p>
    <w:p>
      <w:pPr>
        <w:pStyle w:val="Heading6"/>
        <w:ind w:left="880"/>
      </w:pPr>
      <w:r>
        <w:t>一</w:t>
      </w:r>
    </w:p>
    <w:p>
      <w:pPr>
        <w:ind w:left="880"/>
      </w:pPr>
      <w: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Heading6"/>
        <w:ind w:left="880"/>
      </w:pPr>
      <w:r>
        <w:t>二</w:t>
      </w:r>
    </w:p>
    <w:p>
      <w:pPr>
        <w:ind w:left="880"/>
      </w:pPr>
      <w: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一万円を超えるときにおいては、同項の規定にかかわらず、八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一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平成十一年度における旧私立学校教職員共済組合法の規定による年金等の額の改定に関する政令</w:t>
      <w:br/>
      <w:tab/>
      <w:t>（平成十一年政令第百七十二号）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平成十一年度における旧私立学校教職員共済組合法の規定による年金等の額の改定に関する政令（平成十一年政令第百七十二号）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