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平成十一年度の緊急生産調整推進対策水田営農確立助成補助金等についての所得税及び法人税の臨時特例に関する法律施行令</w:t>
        <w:br/>
        <w:t>（平成十二年政令第四十五号）</w:t>
      </w:r>
    </w:p>
    <w:p>
      <w:pPr>
        <w:pStyle w:val="Heading4"/>
      </w:pPr>
      <w:r>
        <w:t>第一条（緊急生産調整推進対策水田営農確立助成補助金等で固定資産を取得した場合の法人税の特例）</w:t>
      </w:r>
    </w:p>
    <w:p>
      <w:r>
        <w:t>平成十一年度の緊急生産調整推進対策水田営農確立助成補助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及び平成十年分所得税の特別減税のための臨時措置法及び租税特別措置法の一部を改正する法律（平成十年法律第八十四号）附則第七条第二項の規定により読み替えて適用する租税特別措置法第四十五条の二第一項の規定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第二条（緊急生産調整推進対策水田営農確立助成補助金等に係る特別勘定を設けた場合の法人税の特例）</w:t>
      </w:r>
    </w:p>
    <w:p>
      <w:r>
        <w:t>法第二条第一項の農業生産法人（以下「農業生産法人」という。）が、同項の緊急生産調整推進対策水田営農確立助成補助金又は米需給安定対策に係る事業に基づく補償金若しくは生産調整推進円滑化特別対策に係る事業に基づく交付金の交付を受けた場合において、その交付を受けた日の属する事業年度の翌事業年度開始の日から交付を受けた日以後二年を経過する日までの期間（次項において「指定期間」という。）内に同条第一項に規定する補助金等の金額（当該交付を受けた日の属する事業年度において当該金額の一部に相当する金額をもって固定資産の取得又は改良をした場合には、当該取得又は改良に充てられた金額を控除した金額）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補助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Heading6"/>
        <w:ind w:left="880"/>
      </w:pPr>
      <w:r>
        <w:t>一</w:t>
      </w:r>
    </w:p>
    <w:p>
      <w:pPr>
        <w:ind w:left="880"/>
      </w:pPr>
      <w: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r>
    </w:p>
    <w:p>
      <w:pPr>
        <w:pStyle w:val="Heading6"/>
        <w:ind w:left="880"/>
      </w:pPr>
      <w:r>
        <w:t>二</w:t>
      </w:r>
    </w:p>
    <w:p>
      <w:pPr>
        <w:ind w:left="880"/>
      </w:pPr>
      <w:r>
        <w:t>指定期間内に特別勘定残額を前号の場合以外の場合に取り崩した場合</w:t>
      </w:r>
    </w:p>
    <w:p>
      <w:pPr>
        <w:pStyle w:val="Heading6"/>
        <w:ind w:left="880"/>
      </w:pPr>
      <w:r>
        <w:t>三</w:t>
      </w:r>
    </w:p>
    <w:p>
      <w:pPr>
        <w:ind w:left="880"/>
      </w:pPr>
      <w:r>
        <w:t>指定期間を経過する日において、特別勘定残額を有している場合</w:t>
      </w:r>
    </w:p>
    <w:p>
      <w:pPr>
        <w:pStyle w:val="Heading6"/>
        <w:ind w:left="880"/>
      </w:pPr>
      <w:r>
        <w:t>四</w:t>
      </w:r>
    </w:p>
    <w:p>
      <w:pPr>
        <w:ind w:left="880"/>
      </w:pPr>
      <w:r>
        <w:t>指定期間内に解散した場合（合併により解散した場合を除く。）において、特別勘定残額を有しているとき。</w:t>
      </w:r>
    </w:p>
    <w:p>
      <w:pPr>
        <w:pStyle w:val="Heading6"/>
        <w:ind w:left="880"/>
      </w:pPr>
      <w:r>
        <w:t>五</w:t>
      </w:r>
    </w:p>
    <w:p>
      <w:pPr>
        <w:ind w:left="880"/>
      </w:pPr>
      <w:r>
        <w:t>指定期間内に当該法人を被合併法人とする合併が行われた場合において、特別勘定残額を有しているとき。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r>
    </w:p>
    <w:p>
      <w:r>
        <w:br w:type="page"/>
      </w:r>
    </w:p>
    <w:p>
      <w:pPr>
        <w:pStyle w:val="Heading1"/>
      </w:pPr>
      <w:r>
        <w:t>附　則</w:t>
      </w:r>
    </w:p>
    <w:p>
      <w:r>
        <w:t>この政令は、公布の日から施行する。</w:t>
      </w:r>
    </w:p>
    <w:p>
      <w:r>
        <w:br w:type="page"/>
      </w:r>
    </w:p>
    <w:p>
      <w:pPr>
        <w:pStyle w:val="Heading1"/>
      </w:pPr>
      <w:r>
        <w:t>附　則（平成一三年三月三〇日政令第一四一号）</w:t>
      </w:r>
    </w:p>
    <w:p>
      <w:pPr>
        <w:pStyle w:val="Heading4"/>
      </w:pPr>
      <w:r>
        <w:t>第一条（施行期日）</w:t>
      </w:r>
    </w:p>
    <w:p>
      <w:r>
        <w:t>この政令は、平成十三年四月一日から施行する。</w:t>
      </w:r>
    </w:p>
    <w:p>
      <w:pPr>
        <w:pStyle w:val="Heading6"/>
        <w:ind w:left="880"/>
      </w:pPr>
      <w:r>
        <w:t>一</w:t>
      </w:r>
    </w:p>
    <w:p>
      <w:pPr>
        <w:ind w:left="880"/>
      </w:pPr>
      <w:r>
        <w:t>第四条の三の改正規定、第四条の七から第五条の二までの改正規定、第五条の八第九項第六号の改正規定、第十七条第七項の改正規定、第十八条の三第四項の改正規定、第十九条の三の改正規定、第二十五条の四第五項の改正規定、第二十五条の八第八項の改正規定、第二十五条の十二第二十三項第十号の改正規定、第二十五条の十四第二項の改正規定、第二十五条の十九第二項の改正規定、第二十五条の二十第三項の改正規定、第二十五条の二十二の改正規定、第二十五条の二十三の改正規定、第二十七条の八第四項の改正規定（「第二条第二十二号」を「第二条第二十一号」に改める部分に限る。）、第二十八条の七第二項の改定規定、第二十九条第六項第二号の改正規定、第三十二条の二から第三十二条の十までの改正規定、第三十二条の十二の改正規定（「七年前」を「六年前」に改める部分及び「五年」を「四年」に改める部分を除く。）、第三十三条の改正規定（同条第四項に係る部分を除く。）、第三十三条の三から第三十三条の八までの改正規定、第三十四条の二の改正規定、第三十七条の二第二項の改正規定、第三十七条の三の改正規定（同条第二項第二号に係る部分を除く。）、第三十九条の改正規定（同条第十項第二号に係る部分を除く。）、第三十九条の二の改正規定、第三十九条の三の改正規定、第三十九条の七の改正規定（同条第五項に係る部分、同条第六項に係る部分及び同条第十二項第二号イ(1)に係る部分を除く。）、第三十九条の八の改正規定、第三十九条の九の改正規定（同条第一項第三号に係る部分を除く。）、第三十九条の九の二の改正規定（同条第一項第一号に係る部分を除く。）、第三十九条の十から第三十九条の十四までの改正規定、第三十九条の十五の改正規定（「第四十五条の二」の下に「、第四十五条の三」を加える部分を除く。）、第三十九条の十六から第三十九条の二十までの改正規定、第三十九条の二十三から第三十九条の二十九までの改正規定、第三十九条の三十五の五から第三十九条の三十五の七までの改正規定、第三十九条の三十五の八の改正規定（「第四十五条の二」の下に「、第四十五条の三」を加える部分を除く。）、第三十九条の三十五の九から第三十九条の三十五の十二までの改正規定及び第三十九条の三十七の次に一条を加える改正規定並びに附則第七条、第十六条第一項及び第三項、第十九条第三項、第二十一条、第二十二条並びに第三十六条から第三十九条までの規定</w:t>
      </w:r>
    </w:p>
    <w:p>
      <w:pPr>
        <w:pStyle w:val="Heading4"/>
      </w:pPr>
      <w:r>
        <w:t>第三十九条（平成十年度の緊急生産調整推進対策水田営農確立助成補助金等についての所得税及び法人税の臨時特例に関する法律施行令等の一部改正に伴う経過措置）</w:t>
      </w:r>
    </w:p>
    <w:p>
      <w:r>
        <w:t>前三条の規定による改正後の平成十年度の緊急生産調整推進対策水田営農確立助成補助金等についての所得税及び法人税の臨時特例に関する法律施行令第二条、平成十一年度の緊急生産調整推進対策水田営農確立助成補助金等についての所得税及び法人税の臨時特例に関する法律施行令第二条及び平成十二年度の水田農業経営確立助成補助金等についての所得税及び法人税の臨時特例に関する法律施行令第二条の規定は、平成十三年四月一日以後に合併が行われる場合について適用し、同日前に合併が行われた場合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平成十一年度の緊急生産調整推進対策水田営農確立助成補助金等についての所得税及び法人税の臨時特例に関する法律施行令</w:t>
      <w:br/>
      <w:tab/>
      <w:t>（平成十二年政令第四十五号）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平成十一年度の緊急生産調整推進対策水田営農確立助成補助金等についての所得税及び法人税の臨時特例に関する法律施行令（平成十二年政令第四十五号）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