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平成十一年度の緊急生産調整推進対策水田営農確立助成補助金等についての所得税及び法人税の臨時特例に関する法律施行規則</w:t>
        <w:br/>
        <w:t>（平成十二年大蔵省令第四号）</w:t>
      </w:r>
    </w:p>
    <w:p>
      <w:pPr>
        <w:pStyle w:val="Heading4"/>
      </w:pPr>
      <w:r>
        <w:t>第一条（一時所得に係る収入金額とみなされる補償金の金額等）</w:t>
      </w:r>
    </w:p>
    <w:p>
      <w:r>
        <w:t>平成十一年度の緊急生産調整推進対策水田営農確立助成補助金等についての所得税及び法人税の臨時特例に関する法律（平成十二年法律第二号。以下「法」という。）第一条に規定する財務省令で定める金額は、当該個人が、全国の区域を地区とする農業協同組合連合会から当該個人に係る同条に規定する平成十一年度の米需給安定対策に係る事業の米需給安定対策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一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一年度の米需給安定対策に係る事業の米需給安定対策費の金額に相当する金額として交付を受けた金額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平成十一年度の緊急生産調整推進対策水田営農確立助成補助金等についての所得税及び法人税の臨時特例に関する法律施行規則</w:t>
      <w:br/>
      <w:tab/>
      <w:t>（平成十二年大蔵省令第四号）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平成十一年度の緊急生産調整推進対策水田営農確立助成補助金等についての所得税及び法人税の臨時特例に関する法律施行規則（平成十二年大蔵省令第四号）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