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平成十七年六月二十七日から七月十五日までの間における梅雨前線による豪雨により発生した災害についての激甚災害及びこれに対し適用すべき措置の指定に関する政令</w:t>
        <w:br/>
        <w:t>（平成十七年政令第二百九十六号）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平成十七年六月二十七日から七月十五日までの間における梅雨前線による豪雨により発生した災害についての激甚災害及びこれに対し適用すべき措置の指定に関する政令</w:t>
      <w:br/>
      <w:tab/>
      <w:t>（平成十七年政令第二百九十六号）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平成十七年六月二十七日から七月十五日までの間における梅雨前線による豪雨により発生した災害についての激甚災害及びこれに対し適用すべき措置の指定に関する政令（平成十七年政令第二百九十六号）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