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平成十七年度における財政運営のための公債の発行の特例等に関する法律</w:t>
        <w:br/>
        <w:t>（平成十七年法律第十九号）</w:t>
      </w:r>
    </w:p>
    <w:p>
      <w:pPr>
        <w:pStyle w:val="Heading4"/>
      </w:pPr>
      <w:r>
        <w:t>第一条（目的）</w:t>
      </w:r>
    </w:p>
    <w:p>
      <w:r>
        <w:t>この法律は、平成十七年度における国の財政収支の状況にかんがみ、同年度における公債の発行の特例に関する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七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前項の規定による公債の発行は、平成十八年六月三十日までの間、行うことができる。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七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第四条（厚生保険特別会計年金勘定及び業務勘定の歳入及び歳出の特例）</w:t>
      </w:r>
    </w:p>
    <w:p>
      <w:r>
        <w:t>平成十七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第五条（国家公務員共済組合の事務に要する費用の負担の特例）</w:t>
      </w:r>
    </w:p>
    <w:p>
      <w:r>
        <w:t>平成十七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七年度における財政運営のための公債の発行の特例等に関する法律（平成十七年法律第十九号）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r>
        <w:t>この法律は、平成十七年四月一日から施行する。</w:t>
      </w:r>
    </w:p>
    <w:p>
      <w:pPr>
        <w:pStyle w:val="Heading5"/>
        <w:ind w:left="440"/>
      </w:pPr>
      <w:r>
        <w:t>２</w:t>
      </w:r>
    </w:p>
    <w:p>
      <w:pPr>
        <w:ind w:left="440"/>
      </w:pPr>
      <w:r>
        <w:t>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係る同号に規定する公社、特定独立行政法人、独立行政法人のうち同法別表第三に掲げるもの又は国立大学法人等の負担については、第五条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平成十七年度における財政運営のための公債の発行の特例等に関する法律</w:t>
      <w:br/>
      <w:tab/>
      <w:t>（平成十七年法律第十九号）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平成十七年度における財政運営のための公債の発行の特例等に関する法律（平成十七年法律第十九号）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