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平成十七年度の水田農業構造改革交付金等についての所得税及び法人税の臨時特例に関する法律</w:t>
        <w:br/>
        <w:t>（平成十八年法律第六号）</w:t>
      </w:r>
    </w:p>
    <w:p>
      <w:pPr>
        <w:pStyle w:val="Heading4"/>
      </w:pPr>
      <w:r>
        <w:t>第一条（所得税の特例）</w:t>
      </w:r>
    </w:p>
    <w:p>
      <w:r>
        <w:t>個人が、地域水田農業推進協議会（水田農業構造改革交付金、麦・大豆品質向上対策費補助金、水田飼料作物生産振興事業費補助金及び畑地化推進対策費補助金（以下「水田農業構造改革交付金等」という。）を農業者に交付する事業の実施主体をいう。以下同じ。）から平成十七年度の水田農業構造改革交付金等の交付を受けた場合には、当該個人の平成十七年分の所得税については、その交付を受けた金額は、所得税法（昭和四十年法律第三十三号）第三十四条第一項に規定する一時所得に係る収入金額とみなし、かつ、その交付の基因となった農地に係る損失又は費用として財務省令で定めるものの額は、その交付を受けた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地域水田農業推進協議会から平成十七年度の水田農業構造改革交付金等の交付を受けたものが、その交付を受けた日の属する事業年度においてその受けた金額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構造改革交付金等の交付を受けた日の属する事業年度の翌事業年度開始の日からその交付を受けた日以後二年を経過する日までの期間内に、その受けた金額をもって固定資産の取得又は改良をした場合について準用する。</w:t>
        <w:br/>
        <w:t>この場合において必要な事項は、政令で定める。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平成六年度の水田営農活性化助成補助金についての所得税及び法人税の臨時特例に関する法律（平成七年法律第八号）は、廃止する。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平成十七年度の水田農業構造改革交付金等についての所得税及び法人税の臨時特例に関する法律</w:t>
      <w:br/>
      <w:tab/>
      <w:t>（平成十八年法律第六号）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平成十七年度の水田農業構造改革交付金等についての所得税及び法人税の臨時特例に関する法律（平成十八年法律第六号）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