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平成十三年度の水田農業経営確立助成補助金等についての所得税及び法人税の臨時特例に関する法律施行令</w:t>
        <w:br/>
        <w:t>（平成十四年政令第三十号）</w:t>
      </w:r>
    </w:p>
    <w:p>
      <w:pPr>
        <w:pStyle w:val="Heading4"/>
      </w:pPr>
      <w:r>
        <w:t>第一条（水田農業経営確立助成補助金等で固定資産を取得した場合の法人税の特例）</w:t>
      </w:r>
    </w:p>
    <w:p>
      <w:r>
        <w:t>平成十三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とも補償に係る事業に基づく補償金、水田作付体系転換実証事業に基づく補助金又は緊急需給調整助成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平成十三年度の水田農業経営確立助成補助金等についての所得税及び法人税の臨時特例に関する法律施行令</w:t>
      <w:br/>
      <w:tab/>
      <w:t>（平成十四年政令第三十号）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平成十三年度の水田農業経営確立助成補助金等についての所得税及び法人税の臨時特例に関する法律施行令（平成十四年政令第三十号）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