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平成十三年度の水田農業経営確立助成補助金等についての所得税及び法人税の臨時特例に関する法律</w:t>
        <w:br/>
        <w:t>（平成十四年法律第二号）</w:t>
      </w:r>
    </w:p>
    <w:p>
      <w:pPr>
        <w:pStyle w:val="Heading4"/>
      </w:pPr>
      <w:r>
        <w:t>第一条（所得税の特例）</w:t>
      </w:r>
    </w:p>
    <w:p>
      <w:r>
        <w:t>個人が、政府又は全国の区域を地区とする農業協同組合連合会から平成十三年度の水田農業経営確立助成補助金の交付を受けた場合、全国の区域を地区とする農業協同組合連合会から平成十三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市町村若しくは農業協同組合又は都道府県知事が地方農政局長と協議して水田作付体系転換実証事業（生産調整対象水田面積のうちの緊急拡大に係る部分に係る水田について作付転換の実証を行う事業をいう。以下同じ。）の実施主体として認めた団体から平成十三年度の水田作付体系転換実証事業に基づく補助金の交付を受けた場合及び全国の区域を地区とする農業協同組合連合会から平成十三年度の緊急需給調整助成金の交付を受けた場合には、当該個人の平成十三年分の所得税については、その交付を受けた水田農業経営確立助成補助金の金額、その交付を受けた補償金の金額のうち当該個人に係るとも補償事業費の金額に相当する金額として財務省令で定める金額、その交付を受けた水田作付体系転換実証事業に基づく補助金の金額及びその交付を受けた緊急需給調整助成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三年度の水田農業経営確立助成補助金の交付を受けたもの、全国の区域を地区とする農業協同組合連合会から平成十三年度のとも補償に係る事業に基づく補償金の交付を受けたもの、市町村若しくは農業協同組合又は都道府県知事が地方農政局長と協議して水田作付体系転換実証事業の実施主体として認めた団体から平成十三年度の水田作付体系転換実証事業に基づく補助金の交付を受けたもの及び全国の区域を地区とする農業協同組合連合会から平成十三年度の緊急需給調整助成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その受けた水田作付体系転換実証事業に基づく補助金の金額及びその受けた緊急需給調整助成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水田作付体系転換実証事業に基づく補助金及び緊急需給調整助成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平成十三年度の水田農業経営確立助成補助金等についての所得税及び法人税の臨時特例に関する法律</w:t>
      <w:br/>
      <w:tab/>
      <w:t>（平成十四年法律第二号）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平成十三年度の水田農業経営確立助成補助金等についての所得税及び法人税の臨時特例に関する法律（平成十四年法律第二号）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