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平成十九年新潟県中越沖地震による災害についての激甚災害及びこれに対し適用すべき措置の指定に関する政令</w:t>
        <w:br/>
        <w:t>（平成十九年政令第二百六十一号）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以下「令」という。）第一条第一項及び第四十三条第一項の規定の適用並びに都道府県の負担額の算定についての令第七条第一項の規定の適用については、これらの規定にいう激甚災害には含まれないものとする。</w:t>
      </w:r>
    </w:p>
    <w:p>
      <w:pPr>
        <w:pStyle w:val="Heading4"/>
      </w:pPr>
      <w:r>
        <w:t>第三条（災害関係保証に係る期限の特例）</w:t>
      </w:r>
    </w:p>
    <w:p>
      <w:r>
        <w:t>第一条の激甚災害についての法第十二条第一項の政令で定める日は、令第二十四条の規定にかかわらず、平成二十年九月一日とする。</w:t>
      </w:r>
    </w:p>
    <w:p>
      <w:r>
        <w:br w:type="page"/>
      </w:r>
    </w:p>
    <w:p>
      <w:pPr>
        <w:pStyle w:val="Heading1"/>
      </w:pPr>
      <w:r>
        <w:t>附　則</w:t>
      </w:r>
    </w:p>
    <w:p>
      <w:r>
        <w:t>この政令は、公布の日から施行する。</w:t>
      </w:r>
    </w:p>
    <w:p>
      <w:r>
        <w:br w:type="page"/>
      </w:r>
    </w:p>
    <w:p>
      <w:pPr>
        <w:pStyle w:val="Heading1"/>
      </w:pPr>
      <w:r>
        <w:t>附　則（平成一九年一一月九日政令第三三二号）</w:t>
      </w:r>
    </w:p>
    <w:p>
      <w:r>
        <w:t>この政令は、公布の日から施行する。</w:t>
      </w:r>
    </w:p>
    <w:p>
      <w:r>
        <w:br w:type="page"/>
      </w:r>
    </w:p>
    <w:p>
      <w:pPr>
        <w:pStyle w:val="Heading1"/>
      </w:pPr>
      <w:r>
        <w:t>附　則（平成二〇年二月六日政令第二一号）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平成十九年新潟県中越沖地震による災害についての激甚災害及びこれに対し適用すべき措置の指定に関する政令</w:t>
      <w:br/>
      <w:tab/>
      <w:t>（平成十九年政令第二百六十一号）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平成十九年新潟県中越沖地震による災害についての激甚災害及びこれに対し適用すべき措置の指定に関する政令（平成十九年政令第二百六十一号）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