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平成十二年九月八日から同月十七日までの間の豪雨及び暴風雨による災害についての激甚災害の指定並びにこれに対し適用すべき措置の指定に関する政令</w:t>
        <w:br/>
        <w:t>（平成十二年政令第四百六十九号）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平成十二年九月八日から同月十七日までの間の豪雨及び暴風雨による災害についての激甚災害の指定並びにこれに対し適用すべき措置の指定に関する政令</w:t>
      <w:br/>
      <w:tab/>
      <w:t>（平成十二年政令第四百六十九号）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平成十二年九月八日から同月十七日までの間の豪雨及び暴風雨による災害についての激甚災害の指定並びにこれに対し適用すべき措置の指定に関する政令（平成十二年政令第四百六十九号）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