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平成十二年度における公債の発行の特例に関する法律</w:t>
        <w:br/>
        <w:t>（平成十二年法律第三号）</w:t>
      </w:r>
    </w:p>
    <w:p>
      <w:pPr>
        <w:pStyle w:val="Heading4"/>
      </w:pPr>
      <w:r>
        <w:t>第一条（目的）</w:t>
      </w:r>
    </w:p>
    <w:p>
      <w:r>
        <w:t>この法律は、平成十二年度における国の財政収支の状況にかんがみ、同年度における公債の発行の特例に関する措置を定めることにより、同年度の適切な財政運営に資することを目的とする。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二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前項の規定による公債の発行は、平成十三年六月三十日までの間、行うことができる。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平成十二年度における公債の発行の特例に関する法律</w:t>
      <w:br/>
      <w:tab/>
      <w:t>（平成十二年法律第三号）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平成十二年度における公債の発行の特例に関する法律（平成十二年法律第三号）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