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平成十八年九月十五日から同月二十日までの間の暴風雨及び豪雨による災害についての激甚災害並びにこれに対し適用すべき措置の指定に関する政令</w:t>
        <w:br/>
        <w:t>（平成十八年政令第三百五十九号）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平成十八年九月十五日から同月二十日までの間の暴風雨及び豪雨による災害についての激甚災害並びにこれに対し適用すべき措置の指定に関する政令</w:t>
      <w:br/>
      <w:tab/>
      <w:t>（平成十八年政令第三百五十九号）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平成十八年九月十五日から同月二十日までの間の暴風雨及び豪雨による災害についての激甚災害並びにこれに対し適用すべき措置の指定に関する政令（平成十八年政令第三百五十九号）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