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平成十八年度の水田農業構造改革交付金等についての所得税及び法人税の臨時特例に関する法律施行規則</w:t>
        <w:br/>
        <w:t>（平成十九年財務省令第四号）</w:t>
      </w:r>
    </w:p>
    <w:p>
      <w:r>
        <w:t>平成十八年度の水田農業構造改革交付金等についての所得税及び法人税の臨時特例に関する法律（平成十九年法律第二号。以下「法」という。）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八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r>
        <w:br w:type="page"/>
      </w:r>
    </w:p>
    <w:p>
      <w:pPr>
        <w:pStyle w:val="Heading1"/>
      </w:pPr>
      <w:r>
        <w:t>附　則</w:t>
      </w:r>
    </w:p>
    <w:p>
      <w:r>
        <w:t>この省令は、公布の日から施行する。</w:t>
      </w:r>
    </w:p>
    <w:p>
      <w:pPr>
        <w:pStyle w:val="Heading5"/>
        <w:ind w:left="440"/>
      </w:pPr>
      <w:r>
        <w:t>２</w:t>
      </w:r>
    </w:p>
    <w:p>
      <w:pPr>
        <w:ind w:left="440"/>
      </w:pPr>
      <w:r>
        <w:t>平成七年度の水田営農活性化助成補助金についての所得税及び法人税の臨時特例に関する法律施行規則（平成八年大蔵省令第一号）は、廃止する。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平成十八年度の水田農業構造改革交付金等についての所得税及び法人税の臨時特例に関する法律施行規則</w:t>
      <w:br/>
      <w:tab/>
      <w:t>（平成十九年財務省令第四号）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平成十八年度の水田農業構造改革交付金等についての所得税及び法人税の臨時特例に関する法律施行規則（平成十九年財務省令第四号）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