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w:t>
        <w:br/>
        <w:t>（平成十九年法律第二号）</w:t>
      </w:r>
    </w:p>
    <w:p>
      <w:pPr>
        <w:pStyle w:val="Heading4"/>
      </w:pPr>
      <w:r>
        <w:t>第一条（所得税の特例）</w:t>
      </w:r>
    </w:p>
    <w:p>
      <w:r>
        <w:t>個人が、地域水田農業推進協議会（水田農業構造改革交付金、麦・大豆品質向上対策費補助金、水田飼料作物生産振興事業費補助金及び畑地化推進対策費補助金（以下「水田農業構造改革交付金等」という。）を農業者に交付する事業の実施主体をいう。以下同じ。）から平成十八年度の水田農業構造改革交付金等の交付を受けた場合には、当該個人の平成十八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八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r>
    </w:p>
    <w:p>
      <w:r>
        <w:br w:type="page"/>
      </w:r>
    </w:p>
    <w:p>
      <w:pPr>
        <w:pStyle w:val="Heading1"/>
      </w:pPr>
      <w:r>
        <w:t>附　則</w:t>
      </w:r>
    </w:p>
    <w:p>
      <w:r>
        <w:t>この法律は、公布の日から施行する。</w:t>
      </w:r>
    </w:p>
    <w:p>
      <w:pPr>
        <w:pStyle w:val="Heading5"/>
        <w:ind w:left="440"/>
      </w:pPr>
      <w:r>
        <w:t>２</w:t>
      </w:r>
    </w:p>
    <w:p>
      <w:pPr>
        <w:ind w:left="440"/>
      </w:pPr>
      <w:r>
        <w:t>平成七年度の水田営農活性化助成補助金についての所得税及び法人税の臨時特例に関する法律（平成八年法律第一号）は、廃止する。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w:t>
      <w:br/>
      <w:tab/>
      <w:t>（平成十九年法律第二号）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平成十八年度の水田農業構造改革交付金等についての所得税及び法人税の臨時特例に関する法律（平成十九年法律第二号）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