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平成十六年度の水田農業構造改革交付金等についての所得税及び法人税の臨時特例に関する法律施行令</w:t>
        <w:br/>
        <w:t>（平成十七年政令第二十一号）</w:t>
      </w:r>
    </w:p>
    <w:p>
      <w:pPr>
        <w:pStyle w:val="Heading4"/>
      </w:pPr>
      <w:r>
        <w:t>第一条（水田農業構造改革交付金等で固定資産を取得した場合の法人税の特例）</w:t>
      </w:r>
    </w:p>
    <w:p>
      <w:r>
        <w:t>平成十六年度の水田農業構造改革交付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第二条（水田農業構造改革交付金等に係る特別勘定を設けた場合の法人税の特例）</w:t>
      </w:r>
    </w:p>
    <w:p>
      <w:r>
        <w:t>法第二条第一項の農業生産法人（以下「農業生産法人」という。）が、同項の水田農業構造改革交付金等の交付を受けた場合において、その交付を受けた日の属する事業年度の翌事業年度開始の日から交付を受けた日以後二年を経過する日までの期間（次項において「指定期間」という。）内にその受けた金額（当該交付を受けた日の属する事業年度において当該金額の一部に相当する金額をもって固定資産の取得又は改良をした場合には、当該取得又は改良に充てられた金額を控除した金額。以下この項において「交付金等の金額」という。）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交付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r>
    </w:p>
    <w:p>
      <w:r>
        <w:br w:type="page"/>
      </w:r>
    </w:p>
    <w:p>
      <w:pPr>
        <w:pStyle w:val="Heading1"/>
      </w:pPr>
      <w:r>
        <w:t>附　則</w:t>
      </w:r>
    </w:p>
    <w:p>
      <w:r>
        <w:t>この政令は、公布の日から施行する。</w:t>
      </w:r>
    </w:p>
    <w:p>
      <w:pPr>
        <w:pStyle w:val="Heading5"/>
        <w:ind w:left="440"/>
      </w:pPr>
      <w:r>
        <w:t>２</w:t>
      </w:r>
    </w:p>
    <w:p>
      <w:pPr>
        <w:ind w:left="440"/>
      </w:pPr>
      <w:r>
        <w:t>次に掲げる政令は、廃止する。</w:t>
      </w:r>
    </w:p>
    <w:p>
      <w:pPr>
        <w:pStyle w:val="Heading6"/>
        <w:ind w:left="880"/>
      </w:pPr>
      <w:r>
        <w:t>一</w:t>
      </w:r>
    </w:p>
    <w:p>
      <w:pPr>
        <w:ind w:left="880"/>
      </w:pPr>
      <w:r>
        <w:t>平成二年度の水田農業確立助成補助金についての所得税及び法人税の臨時特例に関する法律施行令（平成三年政令第十八号）</w:t>
      </w:r>
    </w:p>
    <w:p>
      <w:pPr>
        <w:pStyle w:val="Heading6"/>
        <w:ind w:left="880"/>
      </w:pPr>
      <w:r>
        <w:t>二</w:t>
      </w:r>
    </w:p>
    <w:p>
      <w:pPr>
        <w:ind w:left="880"/>
      </w:pPr>
      <w:r>
        <w:t>平成三年度の水田農業確立助成補助金についての所得税及び法人税の臨時特例に関する法律施行令（平成四年政令第二十四号）</w:t>
      </w:r>
    </w:p>
    <w:p>
      <w:pPr>
        <w:pStyle w:val="Heading6"/>
        <w:ind w:left="880"/>
      </w:pPr>
      <w:r>
        <w:t>三</w:t>
      </w:r>
    </w:p>
    <w:p>
      <w:pPr>
        <w:ind w:left="880"/>
      </w:pPr>
      <w:r>
        <w:t>平成四年度の水田農業確立助成補助金についての所得税及び法人税の臨時特例に関する法律施行令（平成五年政令第二十号）</w:t>
      </w:r>
    </w:p>
    <w:p>
      <w:pPr>
        <w:pStyle w:val="Heading6"/>
        <w:ind w:left="880"/>
      </w:pPr>
      <w:r>
        <w:t>四</w:t>
      </w:r>
    </w:p>
    <w:p>
      <w:pPr>
        <w:ind w:left="880"/>
      </w:pPr>
      <w:r>
        <w:t>平成五年度の水田営農活性化助成補助金についての所得税及び法人税の臨時特例に関する法律施行令（平成六年政令第二十四号）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平成十六年度の水田農業構造改革交付金等についての所得税及び法人税の臨時特例に関する法律施行令</w:t>
      <w:br/>
      <w:tab/>
      <w:t>（平成十七年政令第二十一号）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平成十六年度の水田農業構造改革交付金等についての所得税及び法人税の臨時特例に関する法律施行令（平成十七年政令第二十一号）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