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平成十六年度の水田農業構造改革交付金等についての所得税及び法人税の臨時特例に関する法律施行規則</w:t>
        <w:br/>
        <w:t>（平成十七年財務省令第四号）</w:t>
      </w:r>
    </w:p>
    <w:p>
      <w:r>
        <w:t>平成十六年度の水田農業構造改革交付金等についての所得税及び法人税の臨時特例に関する法律（平成十七年法律第二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六年分の同法第二条第一項第三十五号に規定する農業所得の金額の計算上、必要経費に算入されるべきものとする。</w:t>
      </w:r>
    </w:p>
    <w:p>
      <w:pPr>
        <w:pStyle w:val="Heading6"/>
        <w:ind w:left="880"/>
      </w:pPr>
      <w:r>
        <w:t>一</w:t>
      </w:r>
    </w:p>
    <w:p>
      <w:pPr>
        <w:ind w:left="880"/>
      </w:pPr>
      <w:r>
        <w:t>法第一条の農地を米穀（飼料の用に供するものを除く。）以外の作物の生産若しくは栽培の用に供し、又は畜舎その他の農業生産に必要な施設の敷地、山林若しくは養魚池の用に供した場合における当該農地</w:t>
      </w:r>
    </w:p>
    <w:p>
      <w:pPr>
        <w:pStyle w:val="Heading6"/>
        <w:ind w:left="880"/>
      </w:pPr>
      <w:r>
        <w:t>二</w:t>
      </w:r>
    </w:p>
    <w:p>
      <w:pPr>
        <w:ind w:left="880"/>
      </w:pPr>
      <w:r>
        <w:t>法第一条の農地で前号に掲げるもの以外のもの</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平成十六年度の水田農業構造改革交付金等についての所得税及び法人税の臨時特例に関する法律施行規則</w:t>
      <w:br/>
      <w:tab/>
      <w:t>（平成十七年財務省令第四号）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平成十六年度の水田農業構造改革交付金等についての所得税及び法人税の臨時特例に関する法律施行規則（平成十七年財務省令第四号）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