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平成十年度における旧令による共済組合等からの年金受給者のための特別措置法等の規定による年金の額の改定に関する政令</w:t>
        <w:br/>
        <w:t>（平成十年政令第百九十七号）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平成九年度改定令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十年四月分以後、その額を、平成九年度改定令第二条の規定により改定された年金額の算定の基礎となっている平成九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次の各号に掲げる年金については、前三項の規定の適用を受けて改定された額が当該各号に定める額に満たないときは、平成十年四月分以後、その額を、当該各号に定める額に改定する。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十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共済組合法による退職共済年金のうち、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Heading6"/>
        <w:ind w:left="880"/>
      </w:pPr>
      <w:r>
        <w:t>二</w:t>
      </w:r>
    </w:p>
    <w:p>
      <w:pPr>
        <w:ind w:left="880"/>
      </w:pPr>
      <w:r>
        <w:t>国家公務員共済組合法による障害共済年金</w:t>
      </w:r>
    </w:p>
    <w:p>
      <w:pPr>
        <w:pStyle w:val="Heading6"/>
        <w:ind w:left="880"/>
      </w:pPr>
      <w:r>
        <w:t>三</w:t>
      </w:r>
    </w:p>
    <w:p>
      <w:pPr>
        <w:ind w:left="880"/>
      </w:pPr>
      <w: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八十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十年四月分以後、その額を、平成九年度改定令第三条の規定により改定された年金額の算定の基礎となっている平成九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次の各号に掲げる年金については、前二項の規定の適用を受けて改定された額が当該各号に定める額に満たないときは、平成十年四月分以後、その額を、当該各号に定める額に改定する。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七千五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扶養遺族一人につき二万四千円（そのうち二人までについては、一人につき六万六千円）</w:t>
      </w:r>
    </w:p>
    <w:p>
      <w:pPr>
        <w:pStyle w:val="Heading6"/>
        <w:ind w:left="880"/>
      </w:pPr>
      <w:r>
        <w:t>二</w:t>
      </w:r>
    </w:p>
    <w:p>
      <w:pPr>
        <w:ind w:left="880"/>
      </w:pPr>
      <w: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十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十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第五条の規定による年金額の改定により増加する費用は、日本鉄道建設公団が負担する。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平成十年度における旧令による共済組合等からの年金受給者のための特別措置法等の規定による年金の額の改定に関する政令</w:t>
      <w:br/>
      <w:tab/>
      <w:t>（平成十年政令第百九十七号）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平成十年度における旧令による共済組合等からの年金受給者のための特別措置法等の規定による年金の額の改定に関する政令（平成十年政令第百九十七号）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