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平成十年度における旧私立学校教職員共済組合法の規定による年金等の額の改定に関する政令</w:t>
        <w:br/>
        <w:t>（平成十年政令第二百二号）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十年四月分以後、その額を、平成九年度における旧私立学校教職員共済組合法の規定による年金等の額の改定に関する政令（平成九年政令第百八十八号）第一条第一項の規定による年金の額の改定の基礎となった平均標準給与の月額に一・〇一一九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十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r>
    </w:p>
    <w:p>
      <w:pPr>
        <w:pStyle w:val="Heading6"/>
        <w:ind w:left="880"/>
      </w:pPr>
      <w:r>
        <w:t>一</w:t>
      </w:r>
    </w:p>
    <w:p>
      <w:pPr>
        <w:ind w:left="880"/>
      </w:pPr>
      <w:r>
        <w:t>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Heading6"/>
        <w:ind w:left="880"/>
      </w:pPr>
      <w:r>
        <w:t>二</w:t>
      </w:r>
    </w:p>
    <w:p>
      <w:pPr>
        <w:ind w:left="880"/>
      </w:pPr>
      <w:r>
        <w:t>私立学校教職員共済法施行令（昭和二十八年政令第四百二十五号）第六条において準用する国家公務員共済組合法施行令（昭和三十三年政令第二百七号）第十一条の七の四各号に掲げる年金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八十万円を超えるときにおいては、同項の規定にかかわらず、八十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十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平成十年度における旧私立学校教職員共済組合法の規定による年金等の額の改定に関する政令</w:t>
      <w:br/>
      <w:tab/>
      <w:t>（平成十年政令第二百二号）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平成十年度における旧私立学校教職員共済組合法の規定による年金等の額の改定に関する政令（平成十年政令第二百二号）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