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建設機械抵当法</w:t>
        <w:br/>
        <w:t>（昭和二十九年法律第九十七号）</w:t>
      </w:r>
    </w:p>
    <w:p>
      <w:pPr>
        <w:pStyle w:val="Heading4"/>
      </w:pPr>
      <w:r>
        <w:t>第一条（この法律の目的）</w:t>
      </w:r>
    </w:p>
    <w:p>
      <w:r>
        <w:t>この法律は、建設機械に関する動産信用の増進により、建設工事の機械化の促進を図ることを目的とする。</w:t>
      </w:r>
    </w:p>
    <w:p>
      <w:pPr>
        <w:pStyle w:val="Heading4"/>
      </w:pPr>
      <w:r>
        <w:t>第二条（定義）</w:t>
      </w:r>
    </w:p>
    <w:p>
      <w:r>
        <w:t>この法律で「建設機械」とは、建設業法（昭和二十四年法律第百号）第二条第一項に規定する建設工事の用に供される機械類をいう。</w:t>
      </w:r>
    </w:p>
    <w:p>
      <w:pPr>
        <w:pStyle w:val="Heading5"/>
        <w:ind w:left="440"/>
      </w:pPr>
      <w:r>
        <w:t>２</w:t>
      </w:r>
    </w:p>
    <w:p>
      <w:pPr>
        <w:ind w:left="440"/>
      </w:pPr>
      <w:r>
        <w:t>前項の機械類の範囲は、政令で定める。</w:t>
      </w:r>
    </w:p>
    <w:p>
      <w:pPr>
        <w:pStyle w:val="Heading4"/>
      </w:pPr>
      <w:r>
        <w:t>第三条（所有権保存登記）</w:t>
      </w:r>
    </w:p>
    <w:p>
      <w:r>
        <w:t>建設機械については、建設業法第二条第三項に規定する建設業者で、その建設機械につき第三者に対抗することのできる所有権を有するものの申請により、所有権保存の登記をすることができる。</w:t>
      </w:r>
    </w:p>
    <w:p>
      <w:pPr>
        <w:pStyle w:val="Heading5"/>
        <w:ind w:left="440"/>
      </w:pPr>
      <w:r>
        <w:t>２</w:t>
      </w:r>
    </w:p>
    <w:p>
      <w:pPr>
        <w:ind w:left="440"/>
      </w:pPr>
      <w:r>
        <w:t>質権又は差押、仮差押若しくは仮処分の目的となつている建設機械について所有権保存の登記がされたときは、その登記は、質権者又は差押、仮差押若しくは仮処分の債権者に対しては、効力を生じない。</w:t>
      </w:r>
    </w:p>
    <w:p>
      <w:pPr>
        <w:pStyle w:val="Heading4"/>
      </w:pPr>
      <w:r>
        <w:t>第四条（打刻）</w:t>
      </w:r>
    </w:p>
    <w:p>
      <w:r>
        <w:t>前条第一項の規定により建設機械の所有権保存の登記を申請しようとする者は、あらかじめ、当該建設機械につき、国土交通大臣の行う記号の打刻又は既に打刻された記号の検認を受けなければならない。</w:t>
      </w:r>
    </w:p>
    <w:p>
      <w:pPr>
        <w:pStyle w:val="Heading5"/>
        <w:ind w:left="440"/>
      </w:pPr>
      <w:r>
        <w:t>２</w:t>
      </w:r>
    </w:p>
    <w:p>
      <w:pPr>
        <w:ind w:left="440"/>
      </w:pPr>
      <w:r>
        <w:t>前項の記号の打刻及び検認については、行政手続法（平成五年法律第八十八号）第二章の規定は、適用しない。</w:t>
      </w:r>
    </w:p>
    <w:p>
      <w:pPr>
        <w:pStyle w:val="Heading5"/>
        <w:ind w:left="440"/>
      </w:pPr>
      <w:r>
        <w:t>３</w:t>
      </w:r>
    </w:p>
    <w:p>
      <w:pPr>
        <w:ind w:left="440"/>
      </w:pPr>
      <w:r>
        <w:t>第一項の記号の打刻及び検認に関し必要な事項は、政令で定める。</w:t>
      </w:r>
    </w:p>
    <w:p>
      <w:pPr>
        <w:pStyle w:val="Heading5"/>
        <w:ind w:left="440"/>
      </w:pPr>
      <w:r>
        <w:t>４</w:t>
      </w:r>
    </w:p>
    <w:p>
      <w:pPr>
        <w:ind w:left="440"/>
      </w:pPr>
      <w:r>
        <w:t>第一項に規定する国土交通大臣の権限に属する打刻又は検認に関する事務の全部又は一部は、政令で定めるところにより、都道府県知事が行うこととすることができる。</w:t>
      </w:r>
    </w:p>
    <w:p>
      <w:pPr>
        <w:pStyle w:val="Heading5"/>
        <w:ind w:left="440"/>
      </w:pPr>
      <w:r>
        <w:t>５</w:t>
      </w:r>
    </w:p>
    <w:p>
      <w:pPr>
        <w:ind w:left="440"/>
      </w:pPr>
      <w:r>
        <w:t>何人も、第一項の規定により打刻した記号をきヽ損してはならない。</w:t>
      </w:r>
    </w:p>
    <w:p>
      <w:pPr>
        <w:pStyle w:val="Heading4"/>
      </w:pPr>
      <w:r>
        <w:t>第五条（抵当権の目的）</w:t>
      </w:r>
    </w:p>
    <w:p>
      <w:r>
        <w:t>既登記の建設機械は、抵当権の目的とすることができる。</w:t>
      </w:r>
    </w:p>
    <w:p>
      <w:pPr>
        <w:pStyle w:val="Heading4"/>
      </w:pPr>
      <w:r>
        <w:t>第六条（抵当権の内容）</w:t>
      </w:r>
    </w:p>
    <w:p>
      <w:r>
        <w:t>抵当権者は、債務者又は第三者が占有を移さないで債務の担保に供した既登記の建設機械（以下「抵当建設機械」という。）につき、他の債権者に先だつて、自己の債権の弁済を受けることができる。</w:t>
      </w:r>
    </w:p>
    <w:p>
      <w:pPr>
        <w:pStyle w:val="Heading4"/>
      </w:pPr>
      <w:r>
        <w:t>第七条（対抗要件等）</w:t>
      </w:r>
    </w:p>
    <w:p>
      <w:r>
        <w:t>既登記の建設機械の所有権及び抵当権の得喪及び変更は、建設機械登記簿に登記をしなければ、第三者に対抗することができない。</w:t>
      </w:r>
    </w:p>
    <w:p>
      <w:pPr>
        <w:pStyle w:val="Heading5"/>
        <w:ind w:left="440"/>
      </w:pPr>
      <w:r>
        <w:t>２</w:t>
      </w:r>
    </w:p>
    <w:p>
      <w:pPr>
        <w:ind w:left="440"/>
      </w:pPr>
      <w:r>
        <w:t>建設機械登記簿は、一個の建設機械につき一用紙を備える。</w:t>
      </w:r>
    </w:p>
    <w:p>
      <w:pPr>
        <w:pStyle w:val="Heading4"/>
      </w:pPr>
      <w:r>
        <w:t>第八条（登記用紙の閉鎖）</w:t>
      </w:r>
    </w:p>
    <w:p>
      <w:r>
        <w:t>建設機械の所有権保存の登記後三十日以内に抵当権設定の登記がされないとき、又は抵当権の登記が全部まヽつヽ消された後三十日以内に新たな抵当権設定の登記がされないときは、登記官は、当該建設機械の登記用紙を閉鎖しなければならない。</w:t>
      </w:r>
    </w:p>
    <w:p>
      <w:pPr>
        <w:pStyle w:val="Heading4"/>
      </w:pPr>
      <w:r>
        <w:t>第九条（政令への委任）</w:t>
      </w:r>
    </w:p>
    <w:p>
      <w:r>
        <w:t>この法律に定めるもののほか、建設機械の登記に関し必要な事項は、政令で定める。</w:t>
      </w:r>
    </w:p>
    <w:p>
      <w:pPr>
        <w:pStyle w:val="Heading4"/>
      </w:pPr>
      <w:r>
        <w:t>第十条（抵当権の効力の及ぶ範囲）</w:t>
      </w:r>
    </w:p>
    <w:p>
      <w:r>
        <w:t>抵当権は、抵当建設機械に付加して一体となつている物に及ぶ。</w:t>
      </w:r>
    </w:p>
    <w:p>
      <w:pPr>
        <w:pStyle w:val="Heading4"/>
      </w:pPr>
      <w:r>
        <w:t>第十一条（不可分性）</w:t>
      </w:r>
    </w:p>
    <w:p>
      <w:r>
        <w:t>抵当権者は、債権の全部の弁済を受けるまでは、抵当建設機械の全部につき、その権利を行使することができる。</w:t>
      </w:r>
    </w:p>
    <w:p>
      <w:pPr>
        <w:pStyle w:val="Heading4"/>
      </w:pPr>
      <w:r>
        <w:t>第十二条（物上代位）</w:t>
      </w:r>
    </w:p>
    <w:p>
      <w:r>
        <w:t>抵当権は、抵当建設機械の売却、賃貸、滅失又はき（ヽ）損によつて抵当権設定者が受けるべき金銭その他の物に対しても、これを行使することができる。</w:t>
      </w:r>
    </w:p>
    <w:p>
      <w:pPr>
        <w:pStyle w:val="Heading4"/>
      </w:pPr>
      <w:r>
        <w:t>第十三条（物上保証人の求償権）</w:t>
      </w:r>
    </w:p>
    <w:p>
      <w:r>
        <w:t>他人の債務を担保するため抵当権を設定した者がその債務を弁済し、又は抵当権の実行によつて抵当建設機械の所有権を失つたときは、保証債務に関する規定に従い、債務者に対して求償権を有する。</w:t>
      </w:r>
    </w:p>
    <w:p>
      <w:pPr>
        <w:pStyle w:val="Heading4"/>
      </w:pPr>
      <w:r>
        <w:t>第十四条（抵当権の順位）</w:t>
      </w:r>
    </w:p>
    <w:p>
      <w:r>
        <w:t>数個の債権を担保するため同一の建設機械につき抵当権を設定したときは、その抵当権の順位は、登記の前後による。</w:t>
      </w:r>
    </w:p>
    <w:p>
      <w:pPr>
        <w:pStyle w:val="Heading5"/>
        <w:ind w:left="440"/>
      </w:pPr>
      <w:r>
        <w:t>２</w:t>
      </w:r>
    </w:p>
    <w:p>
      <w:pPr>
        <w:ind w:left="440"/>
      </w:pPr>
      <w:r>
        <w:t>民法第三百七十四条の規定は、抵当権の順位の変更について準用する。</w:t>
      </w:r>
    </w:p>
    <w:p>
      <w:pPr>
        <w:pStyle w:val="Heading4"/>
      </w:pPr>
      <w:r>
        <w:t>第十五条（先取特権との順位）</w:t>
      </w:r>
    </w:p>
    <w:p>
      <w:r>
        <w:t>同一の建設機械につき抵当権及び先取特権が競合する場合には、抵当権は、民法第三百三十条第一項に規定する第一順位の先取特権と同順位とする。</w:t>
      </w:r>
    </w:p>
    <w:p>
      <w:pPr>
        <w:pStyle w:val="Heading4"/>
      </w:pPr>
      <w:r>
        <w:t>第十六条（担保される利息等）</w:t>
      </w:r>
    </w:p>
    <w:p>
      <w:r>
        <w:t>抵当権者が利息その他の定期金を請求する権利を有するときは、その満期となつた最後の二年分についてのみその抵当権を行使することができる。</w:t>
      </w:r>
    </w:p>
    <w:p>
      <w:pPr>
        <w:pStyle w:val="Heading5"/>
        <w:ind w:left="440"/>
      </w:pPr>
      <w:r>
        <w:t>２</w:t>
      </w:r>
    </w:p>
    <w:p>
      <w:pPr>
        <w:ind w:left="440"/>
      </w:pPr>
      <w:r>
        <w:t>前項の規定は、抵当権者が債務の不履行によつて生じた損害の賠償を請求する権利を有する場合において、その最後の二年分についても適用する。</w:t>
      </w:r>
    </w:p>
    <w:p>
      <w:pPr>
        <w:pStyle w:val="Heading4"/>
      </w:pPr>
      <w:r>
        <w:t>第十七条（抵当権の処分）</w:t>
      </w:r>
    </w:p>
    <w:p>
      <w:r>
        <w:t>抵当権者は、その抵当権を他の債権の担保とし、又は同一の債務者に対する他の債権者の利益のためその抵当権若しくはその順位を譲渡し、若しくは放棄することができる。</w:t>
      </w:r>
    </w:p>
    <w:p>
      <w:pPr>
        <w:pStyle w:val="Heading5"/>
        <w:ind w:left="440"/>
      </w:pPr>
      <w:r>
        <w:t>２</w:t>
      </w:r>
    </w:p>
    <w:p>
      <w:pPr>
        <w:ind w:left="440"/>
      </w:pPr>
      <w:r>
        <w:t>前項の場合において、抵当権者が数人のためにその抵当権の処分をしたときは、その処分の利益を受ける者の権利の順位は、抵当権の登記にした附記の前後による。</w:t>
      </w:r>
    </w:p>
    <w:p>
      <w:pPr>
        <w:pStyle w:val="Heading4"/>
      </w:pPr>
      <w:r>
        <w:t>第十八条</w:t>
      </w:r>
    </w:p>
    <w:p>
      <w:r>
        <w:t>前条第一項の規定による抵当権の処分は、民法第四百六十七条の規定に従い、主たる債務者にこれを通知し、又はその債務者がこれを承諾しなければ、その債務者、保証人、抵当権設定者又はこれらの承継人に対抗することができない。</w:t>
      </w:r>
    </w:p>
    <w:p>
      <w:pPr>
        <w:pStyle w:val="Heading5"/>
        <w:ind w:left="440"/>
      </w:pPr>
      <w:r>
        <w:t>２</w:t>
      </w:r>
    </w:p>
    <w:p>
      <w:pPr>
        <w:ind w:left="440"/>
      </w:pPr>
      <w:r>
        <w:t>主たる債務者が前項の通知を受け、又は承諾をしたときは、抵当権の処分の利益を受ける者の同意を得ないでした弁済は、その受益者に対抗することができない。</w:t>
      </w:r>
    </w:p>
    <w:p>
      <w:pPr>
        <w:pStyle w:val="Heading4"/>
      </w:pPr>
      <w:r>
        <w:t>第十九条（代価弁済）</w:t>
      </w:r>
    </w:p>
    <w:p>
      <w:r>
        <w:t>抵当建設機械を買い受けた第三者が抵当権者の請求に応じてその代価を弁済したときは、抵当権は、その第三者のために消滅する。</w:t>
      </w:r>
    </w:p>
    <w:p>
      <w:pPr>
        <w:pStyle w:val="Heading4"/>
      </w:pPr>
      <w:r>
        <w:t>第二十条（第三取得者の費用償還請求権）</w:t>
      </w:r>
    </w:p>
    <w:p>
      <w:r>
        <w:t>抵当建設機械を取得した第三者が抵当建設機械につき必要費又は有益費を出したときは、民法第百九十六条の区別に従い、抵当建設機械の代価をもつて最も先にその償還を受けることができる。</w:t>
      </w:r>
    </w:p>
    <w:p>
      <w:pPr>
        <w:pStyle w:val="Heading4"/>
      </w:pPr>
      <w:r>
        <w:t>第二十一条（共同抵当の代価の配当）</w:t>
      </w:r>
    </w:p>
    <w:p>
      <w:r>
        <w:t>債権者が同一の債権の担保として数個の建設機械の上に抵当権を有する場合において、同時にその代価を配当すべきときは、その各建設機械の価格に応じてその債権の負担を分ける。</w:t>
      </w:r>
    </w:p>
    <w:p>
      <w:pPr>
        <w:pStyle w:val="Heading5"/>
        <w:ind w:left="440"/>
      </w:pPr>
      <w:r>
        <w:t>２</w:t>
      </w:r>
    </w:p>
    <w:p>
      <w:pPr>
        <w:ind w:left="440"/>
      </w:pPr>
      <w:r>
        <w:t>ある抵当建設機械の代価のみを配当すべきときは、抵当権者は、その代価につき債権の全部の弁済を受けることができる。</w:t>
      </w:r>
    </w:p>
    <w:p>
      <w:pPr>
        <w:pStyle w:val="Heading5"/>
        <w:ind w:left="440"/>
      </w:pPr>
      <w:r>
        <w:t>３</w:t>
      </w:r>
    </w:p>
    <w:p>
      <w:pPr>
        <w:ind w:left="440"/>
      </w:pPr>
      <w:r>
        <w:t>前項後段の規定により代位して抵当権を行使する者は、その抵当権の登記にその代位を附記することができる。</w:t>
      </w:r>
    </w:p>
    <w:p>
      <w:pPr>
        <w:pStyle w:val="Heading4"/>
      </w:pPr>
      <w:r>
        <w:t>第二十二条（一般財産からの弁済）</w:t>
      </w:r>
    </w:p>
    <w:p>
      <w:r>
        <w:t>抵当権者は、抵当建設機械の代価で弁済を受けない債権の部分についてのみ他の財産から弁済を受けることができる。</w:t>
      </w:r>
    </w:p>
    <w:p>
      <w:pPr>
        <w:pStyle w:val="Heading5"/>
        <w:ind w:left="440"/>
      </w:pPr>
      <w:r>
        <w:t>２</w:t>
      </w:r>
    </w:p>
    <w:p>
      <w:pPr>
        <w:ind w:left="440"/>
      </w:pPr>
      <w:r>
        <w:t>前項の規定は、抵当建設機械の代価に先だつて他の財産の代価を配当すべき場合には、適用しない。</w:t>
      </w:r>
    </w:p>
    <w:p>
      <w:pPr>
        <w:pStyle w:val="Heading5"/>
        <w:ind w:left="440"/>
      </w:pPr>
      <w:r>
        <w:t>３</w:t>
      </w:r>
    </w:p>
    <w:p>
      <w:pPr>
        <w:ind w:left="440"/>
      </w:pPr>
      <w:r>
        <w:t>前項の場合において、抵当権者に第一項の規定による弁済を受けさせるため、他の各債権者は、抵当権者に配当すべき金額の供託を請求することができる。</w:t>
      </w:r>
    </w:p>
    <w:p>
      <w:pPr>
        <w:pStyle w:val="Heading4"/>
      </w:pPr>
      <w:r>
        <w:t>第二十三条（時効による消滅）</w:t>
      </w:r>
    </w:p>
    <w:p>
      <w:r>
        <w:t>抵当権は、債務者及び抵当権設定者に対しては、その担保する債権と同時でなければ、時効によつて消滅しない。</w:t>
      </w:r>
    </w:p>
    <w:p>
      <w:pPr>
        <w:pStyle w:val="Heading4"/>
      </w:pPr>
      <w:r>
        <w:t>第二十四条</w:t>
      </w:r>
    </w:p>
    <w:p>
      <w:r>
        <w:t>債務者又は抵当権設定者以外の者が抵当建設機械につき取得時効に必要な条件を具備した占有をしたときは、抵当権は、これによつて消滅する。</w:t>
      </w:r>
    </w:p>
    <w:p>
      <w:pPr>
        <w:pStyle w:val="Heading4"/>
      </w:pPr>
      <w:r>
        <w:t>第二十四条の二（根抵当権）</w:t>
      </w:r>
    </w:p>
    <w:p>
      <w:r>
        <w:t>抵当権は、設定行為をもつて定めるところにより、一定の範囲に属する不特定の債権を極度額の限度において担保するためにも設定することができる。</w:t>
      </w:r>
    </w:p>
    <w:p>
      <w:pPr>
        <w:pStyle w:val="Heading5"/>
        <w:ind w:left="440"/>
      </w:pPr>
      <w:r>
        <w:t>２</w:t>
      </w:r>
    </w:p>
    <w:p>
      <w:pPr>
        <w:ind w:left="440"/>
      </w:pPr>
      <w:r>
        <w:t>民法第三百九十八条の二第二項及び第三項並びに第三百九十八条の三から第三百九十八条の二十二までの規定は、前項の抵当権について準用する。</w:t>
      </w:r>
    </w:p>
    <w:p>
      <w:pPr>
        <w:pStyle w:val="Heading4"/>
      </w:pPr>
      <w:r>
        <w:t>第二十五条（質権設定の禁止）</w:t>
      </w:r>
    </w:p>
    <w:p>
      <w:r>
        <w:t>既登記の建設機械は、質権の目的とすることができない。</w:t>
      </w:r>
    </w:p>
    <w:p>
      <w:pPr>
        <w:pStyle w:val="Heading4"/>
      </w:pPr>
      <w:r>
        <w:t>第二十六条（既登記の建設機械に対する強制執行等）</w:t>
      </w:r>
    </w:p>
    <w:p>
      <w:r>
        <w:t>既登記の建設機械に対する強制執行及び仮差押えの執行については、地方裁判所が執行裁判所又は保全執行裁判所として、これを管轄する。</w:t>
      </w:r>
    </w:p>
    <w:p>
      <w:pPr>
        <w:pStyle w:val="Heading5"/>
        <w:ind w:left="440"/>
      </w:pPr>
      <w:r>
        <w:t>２</w:t>
      </w:r>
    </w:p>
    <w:p>
      <w:pPr>
        <w:ind w:left="440"/>
      </w:pPr>
      <w:r>
        <w:t>前項の強制執行及び仮差押えの執行に関し必要な事項は、最高裁判所規則で定める。</w:t>
      </w:r>
    </w:p>
    <w:p>
      <w:pPr>
        <w:pStyle w:val="Heading5"/>
        <w:ind w:left="440"/>
      </w:pPr>
      <w:r>
        <w:t>３</w:t>
      </w:r>
    </w:p>
    <w:p>
      <w:pPr>
        <w:ind w:left="440"/>
      </w:pPr>
      <w:r>
        <w:t>前二項の規定は、既登記の建設機械の競売について準用する。</w:t>
      </w:r>
    </w:p>
    <w:p>
      <w:pPr>
        <w:pStyle w:val="Heading4"/>
      </w:pPr>
      <w:r>
        <w:t>第二十七条（補則）</w:t>
      </w:r>
    </w:p>
    <w:p>
      <w:r>
        <w:t>第二条第二項の規定に基く政令の改正により新たに建設機械となつたもので、その改正の際現に道路運送車両法（昭和二十六年法律第百八十五号）により所有権の登録を受けているものは、その登録がある間は、同条に規定する建設機械でないものとみなす。</w:t>
      </w:r>
    </w:p>
    <w:p>
      <w:pPr>
        <w:pStyle w:val="Heading5"/>
        <w:ind w:left="440"/>
      </w:pPr>
      <w:r>
        <w:t>２</w:t>
      </w:r>
    </w:p>
    <w:p>
      <w:pPr>
        <w:ind w:left="440"/>
      </w:pPr>
      <w:r>
        <w:t>第二条第二項の規定に基く政令の改正により建設機械でなくなつたもので、その改正の際現に所有権の登記があるものは、その登記がある間は、同条に規定する建設機械とみなす。</w:t>
      </w:r>
    </w:p>
    <w:p>
      <w:pPr>
        <w:pStyle w:val="Heading4"/>
      </w:pPr>
      <w:r>
        <w:t>第二十八条</w:t>
      </w:r>
    </w:p>
    <w:p>
      <w:r>
        <w:t>この法律で政令又は最高裁判所の定めるところに委任するものを除くほか、この法律の実施のための手続その他その執行について必要な細則は、政令で定める。</w:t>
      </w:r>
    </w:p>
    <w:p>
      <w:pPr>
        <w:pStyle w:val="Heading4"/>
      </w:pPr>
      <w:r>
        <w:t>第二十九条（罰則）</w:t>
      </w:r>
    </w:p>
    <w:p>
      <w:r>
        <w:t>第四条第五項の規定に違反して記号をきヽ損した者は、一年以下の懲役又は三万円以下の罰金に処する。</w:t>
      </w:r>
    </w:p>
    <w:p>
      <w:pPr>
        <w:pStyle w:val="Heading4"/>
      </w:pPr>
      <w:r>
        <w:t>第三十条</w:t>
      </w:r>
    </w:p>
    <w:p>
      <w:r>
        <w:t>競売を免かれる目的をもつて抵当建設機械を隠匿し、又は損壊した者は、二年以下の懲役又は五万円以下の罰金に処する。</w:t>
      </w:r>
    </w:p>
    <w:p>
      <w:r>
        <w:br w:type="page"/>
      </w:r>
    </w:p>
    <w:p>
      <w:pPr>
        <w:pStyle w:val="Heading1"/>
      </w:pPr>
      <w:r>
        <w:t>附　則</w:t>
      </w:r>
    </w:p>
    <w:p>
      <w:r>
        <w:t>この法律の施行期日は、公布の日から起算して六箇月をこえない範囲内において、政令で定める。</w:t>
      </w:r>
    </w:p>
    <w:p>
      <w:pPr>
        <w:pStyle w:val="Heading5"/>
        <w:ind w:left="440"/>
      </w:pPr>
      <w:r>
        <w:t>２</w:t>
      </w:r>
    </w:p>
    <w:p>
      <w:pPr>
        <w:ind w:left="440"/>
      </w:pPr>
      <w:r>
        <w:t>この法律の施行の際現に道路運送車両法により所有権の登録を受けている建設機械については、その登録がある間は、なお、従前の例による。</w:t>
      </w:r>
    </w:p>
    <w:p>
      <w:pPr>
        <w:pStyle w:val="Heading5"/>
        <w:ind w:left="440"/>
      </w:pPr>
      <w:r>
        <w:t>３</w:t>
      </w:r>
    </w:p>
    <w:p>
      <w:pPr>
        <w:ind w:left="440"/>
      </w:pPr>
      <w:r>
        <w:t>陸運局長は、この法律の施行の日から十五日以内に、前項に規定する建設機械の自動車登録原簿の謄本を建設大臣に送付しなければならない。</w:t>
      </w:r>
    </w:p>
    <w:p>
      <w:pPr>
        <w:pStyle w:val="Heading5"/>
        <w:ind w:left="440"/>
      </w:pPr>
      <w:r>
        <w:t>４</w:t>
      </w:r>
    </w:p>
    <w:p>
      <w:pPr>
        <w:ind w:left="440"/>
      </w:pPr>
      <w:r>
        <w:t>国土交通大臣は、附則第四項に規定する建設機械については、道路運送車両法第十五条の規定による永久抹消登録、同法第十五条の二第二項の規定による輸出抹消仮登録又は同法第十六条第一項の申請に基づく一時抹消登録をするまでは、第四条の規定による打刻をすることができない。</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則（昭和四六年六月三日法律第九九号）</w:t>
      </w:r>
    </w:p>
    <w:p>
      <w:pPr>
        <w:pStyle w:val="Heading4"/>
      </w:pPr>
      <w:r>
        <w:t>第一条（施行期日）</w:t>
      </w:r>
    </w:p>
    <w:p>
      <w:r>
        <w:t>この法律は、昭和四十七年四月一日から施行する。</w:t>
      </w:r>
    </w:p>
    <w:p>
      <w:pPr>
        <w:pStyle w:val="Heading4"/>
      </w:pPr>
      <w:r>
        <w:t>第二条（経過措置の原則）</w:t>
      </w:r>
    </w:p>
    <w:p>
      <w:r>
        <w:t>この法律による改正後の民法（以下「新法」という。）の規定は、別段の定めがある場合を除き、この法律の施行の際現に存する抵当権で根抵当であるもの（以下「旧根抵当権」という。）にも適用する。</w:t>
      </w:r>
    </w:p>
    <w:p>
      <w:pPr>
        <w:pStyle w:val="Heading4"/>
      </w:pPr>
      <w:r>
        <w:t>第三条（新法の適用の制限）</w:t>
      </w:r>
    </w:p>
    <w:p>
      <w:r>
        <w:t>旧根抵当権で、極度額についての定めが新法の規定に適合していないもの又は附記によらない極度額の増額の登記があるものについては、その極度額の変更、新法第三百九十八条の四の規定による担保すべき債権の範囲又は債務者の変更、新法第三百九十八条の十二の規定による根抵当権の譲渡、新法第三百九十八条の十三の規定による根抵当権の一部譲渡及び新法第三百九十八条の十四第一項ただし書の規定による定めは、することができない。</w:t>
      </w:r>
    </w:p>
    <w:p>
      <w:pPr>
        <w:pStyle w:val="Heading5"/>
        <w:ind w:left="440"/>
      </w:pPr>
      <w:r>
        <w:t>２</w:t>
      </w:r>
    </w:p>
    <w:p>
      <w:pPr>
        <w:ind w:left="440"/>
      </w:pPr>
      <w:r>
        <w:t>前項の規定は、同項に規定する旧根抵当権以外の旧根抵当権で、旧法第三百七十五条第一項の規定による処分がされているものについて準用する。</w:t>
      </w:r>
    </w:p>
    <w:p>
      <w:pPr>
        <w:pStyle w:val="Heading4"/>
      </w:pPr>
      <w:r>
        <w:t>第四条（極度額についての定めの変更）</w:t>
      </w:r>
    </w:p>
    <w:p>
      <w:r>
        <w:t>旧根抵当権で、極度額についての定めが新法の規定に適合していないものについては、元本の確定前に限り、その定めを変更して新法の規定に適合するものとすることができる。</w:t>
      </w:r>
    </w:p>
    <w:p>
      <w:pPr>
        <w:pStyle w:val="Heading4"/>
      </w:pPr>
      <w:r>
        <w:t>第五条（附記によらない極度額の増額の登記がある旧根抵当権の分割）</w:t>
      </w:r>
    </w:p>
    <w:p>
      <w:r>
        <w:t>附記によらない極度額の増額の登記がある旧根抵当権については、元本の確定前に限り、根抵当権者及び根抵当権設定者の合意により、当該旧根抵当権を分割して増額に係る部分を新法の規定による独立の根抵当権とすることができる。</w:t>
      </w:r>
    </w:p>
    <w:p>
      <w:pPr>
        <w:pStyle w:val="Heading5"/>
        <w:ind w:left="440"/>
      </w:pPr>
      <w:r>
        <w:t>２</w:t>
      </w:r>
    </w:p>
    <w:p>
      <w:pPr>
        <w:ind w:left="440"/>
      </w:pPr>
      <w:r>
        <w:t>前項の規定による分割をする場合には、増額に係る部分を目的とする権利を有する者その他の利害の関係を有する者の承諾を得なければならない。</w:t>
      </w:r>
    </w:p>
    <w:p>
      <w:pPr>
        <w:pStyle w:val="Heading4"/>
      </w:pPr>
      <w:r>
        <w:t>第六条（元本の確定すべき期日に関する経過措置）</w:t>
      </w:r>
    </w:p>
    <w:p>
      <w:r>
        <w:t>この法律の施行の際旧根抵当権について現に存する担保すべき元本の確定すべき時期に関する定め又はその登記は、その定めにより元本が確定することとなる日をもつて新法第三百九十八条の六第一項の期日とする定め又はその登記とみなす。</w:t>
      </w:r>
    </w:p>
    <w:p>
      <w:pPr>
        <w:pStyle w:val="Heading4"/>
      </w:pPr>
      <w:r>
        <w:t>第七条（弁済による代位に関する経過措置）</w:t>
      </w:r>
    </w:p>
    <w:p>
      <w:r>
        <w:t>この法律の施行前から引き続き旧根抵当権の担保すべき債務を弁済するについて正当な利益を有していた者が、この法律の施行後元本の確定前にその債務を弁済した場合における代位に関しては、なお従前の例による。</w:t>
      </w:r>
    </w:p>
    <w:p>
      <w:pPr>
        <w:pStyle w:val="Heading4"/>
      </w:pPr>
      <w:r>
        <w:t>第八条（旧根抵当権の処分に関する経過措置）</w:t>
      </w:r>
    </w:p>
    <w:p>
      <w:r>
        <w:t>この法律の施行前に元本の確定前の旧根抵当権についてされた旧法第三百七十五条第一項の規定による処分に関しては、なお従前の例による。</w:t>
      </w:r>
    </w:p>
    <w:p>
      <w:pPr>
        <w:pStyle w:val="Heading4"/>
      </w:pPr>
      <w:r>
        <w:t>第九条（同一の債権の担保として設定された旧根抵当権の分離）</w:t>
      </w:r>
    </w:p>
    <w:p>
      <w:r>
        <w:t>同一の債権の担保として設定された数個の不動産の上の旧根抵当権については、元本の確定前に限り、根抵当権者及び根抵当権設定者の合意により、当該旧根抵当権を一の不動産について他の不動産から分離し、これらの不動産の間に、新法第三百九十二条の規定の適用がないものとすることができる。</w:t>
      </w:r>
    </w:p>
    <w:p>
      <w:pPr>
        <w:pStyle w:val="Heading5"/>
        <w:ind w:left="440"/>
      </w:pPr>
      <w:r>
        <w:t>２</w:t>
      </w:r>
    </w:p>
    <w:p>
      <w:pPr>
        <w:ind w:left="440"/>
      </w:pPr>
      <w:r>
        <w:t>前項の規定による分離は、新法第三百九十八条の十六の規定の適用に関しては、根抵当権の設定とみなす。</w:t>
      </w:r>
    </w:p>
    <w:p>
      <w:pPr>
        <w:pStyle w:val="Heading4"/>
      </w:pPr>
      <w:r>
        <w:t>第十条（元本の確定の時期に関する経過措置）</w:t>
      </w:r>
    </w:p>
    <w:p>
      <w:r>
        <w:t>この法律の施行前に、新法第三百九十八条の二十第一項第一号に規定する申立て、同項第二号に規定する差押え、同項第三号に規定する競売手続の開始若しくは差押え又は同項第四号に規定する破産手続開始の決定があつた旧根抵当権で、担保すべき元本が確定していないものについては、この法律の施行の日にこれらの事由が生じたものとみなして、同項の規定を適用する。</w:t>
      </w:r>
    </w:p>
    <w:p>
      <w:pPr>
        <w:pStyle w:val="Heading4"/>
      </w:pPr>
      <w:r>
        <w:t>第十一条（旧根抵当権の消滅請求に関する経過措置）</w:t>
      </w:r>
    </w:p>
    <w:p>
      <w:r>
        <w:t>極度額についての定めが新法の規定に適合していない旧根抵当権については、その優先権の限度額を極度額とみなして、新法第三百九十八条の二十二の規定を適用する。</w:t>
      </w:r>
    </w:p>
    <w:p>
      <w:pPr>
        <w:pStyle w:val="Heading4"/>
      </w:pPr>
      <w:r>
        <w:t>第十二条（建設機械抵当法の一部改正に伴う経過措置）</w:t>
      </w:r>
    </w:p>
    <w:p>
      <w:r>
        <w:t>前条の規定による建設機械抵当法の一部改正に伴う経過措置については、附則第二条から附則第十一条までの規定の例による。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第三条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第四条</w:t>
      </w:r>
    </w:p>
    <w:p>
      <w:r>
        <w:t>この法律の施行前にした行為に対する罰則の適用については、なお従前の例による。</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第二条（国等の事務）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第三条（処分、申請等に関する経過措置）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第四条（不服申立てに関する経過措置）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第五条（手数料に関する経過措置）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第六条（罰則に関する経過措置）</w:t>
      </w:r>
    </w:p>
    <w:p>
      <w:r>
        <w:t>この法律の施行前にした行為に対する罰則の適用については、なお従前の例による。</w:t>
      </w:r>
    </w:p>
    <w:p>
      <w:pPr>
        <w:pStyle w:val="Heading4"/>
      </w:pPr>
      <w:r>
        <w:t>第七条（その他の経過措置の政令への委任）</w:t>
      </w:r>
    </w:p>
    <w:p>
      <w:r>
        <w:t>この附則に規定するもののほか、この法律の施行に伴い必要な経過措置（罰則に関する経過措置を含む。）は、政令で定める。</w:t>
      </w:r>
    </w:p>
    <w:p>
      <w:pPr>
        <w:pStyle w:val="Heading4"/>
      </w:pPr>
      <w:r>
        <w:t>第八条（検討）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第九条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則（平成一四年七月一七日法律第八九号）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則（平成一八年五月一九日法律第四〇号）</w:t>
      </w:r>
    </w:p>
    <w:p>
      <w:pPr>
        <w:pStyle w:val="Heading4"/>
      </w:pPr>
      <w:r>
        <w:t>第一条（施行期日）</w:t>
      </w:r>
    </w:p>
    <w:p>
      <w:r>
        <w:t>この法律は、公布の日から起算して十月を超えない範囲内において政令で定める日から施行する。</w:t>
      </w:r>
    </w:p>
    <w:p>
      <w:pPr>
        <w:pStyle w:val="Heading6"/>
        <w:ind w:left="880"/>
      </w:pPr>
      <w:r>
        <w:t>一から三まで</w:t>
      </w:r>
    </w:p>
    <w:p>
      <w:pPr>
        <w:ind w:left="880"/>
      </w:pPr>
      <w:r>
        <w:t>略</w:t>
      </w:r>
    </w:p>
    <w:p>
      <w:pPr>
        <w:pStyle w:val="Heading6"/>
        <w:ind w:left="880"/>
      </w:pPr>
      <w:r>
        <w:t>四</w:t>
      </w:r>
    </w:p>
    <w:p>
      <w:pPr>
        <w:ind w:left="880"/>
      </w:pPr>
      <w:r>
        <w:t>第一条中道路運送法第四十一条第四項の改正規定及び第二条の規定（前三号に掲げる改正規定並びに道路運送車両法第四十八条第一項の改正規定及び同法第六十一条第二項第二号の改正規定（「及び二輪の小型自動車」を加える部分を除く。）を除く。）並びに附則第八条から第十条まで、第十七条、第二十一条、第二十七条（土砂等を運搬する大型自動車による交通事故の防止等に関する特別措置法（昭和四十二年法律第百三十一号）第九条第四項の改正規定に限る。）及び第二十八条の規定</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建設機械抵当法</w:t>
      <w:br/>
      <w:tab/>
      <w:t>（昭和二十九年法律第九十七号）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建設機械抵当法（昭和二十九年法律第九十七号）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