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弁護士法第五条の二第三項の手数料の額を定める政令</w:t>
        <w:br/>
        <w:t>（平成十六年政令第十七号）</w:t>
      </w:r>
    </w:p>
    <w:p>
      <w:r>
        <w:t>弁護士法第五条の二第三項の政令で定める手数料の額は、申請一件につき一万九千八百円とする。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この政令は、平成十六年四月一日から施行する。</w:t>
      </w:r>
    </w:p>
    <w:p>
      <w:r>
        <w:br w:type="page"/>
      </w:r>
    </w:p>
    <w:p>
      <w:pPr>
        <w:pStyle w:val="Heading1"/>
      </w:pPr>
      <w:r>
        <w:t>附　則（平成一六年三月三一日政令第九二号）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弁護士法第五条の二第三項の手数料の額を定める政令</w:t>
      <w:br/>
      <w:tab/>
      <w:t>（平成十六年政令第十七号）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弁護士法第五条の二第三項の手数料の額を定める政令（平成十六年政令第十七号）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