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弁護士法第五条第一号の機関を定める政令</w:t>
        <w:br/>
        <w:t>（昭和五十九年政令第二百二十一号）</w:t>
      </w:r>
    </w:p>
    <w:p>
      <w:r>
        <w:t>弁護士法第五条第一号の政令で定める機関は、法務総合研究所とする。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附則（平成一六年二月四日政令第一五号）</w:t>
      </w:r>
    </w:p>
    <w:p>
      <w:pPr>
        <w:pStyle w:val="Heading4"/>
      </w:pPr>
      <w:r>
        <w:t>第一条（施行期日）</w:t>
      </w:r>
    </w:p>
    <w:p>
      <w:r>
        <w:t>この政令は、平成十六年四月一日から施行する。</w:t>
      </w:r>
    </w:p>
    <w:p>
      <w:r>
        <w:br w:type="page"/>
      </w:r>
    </w:p>
    <w:p>
      <w:pPr>
        <w:pStyle w:val="Heading1"/>
      </w:pPr>
      <w:r>
        <w:t>附則（平成一六年三月三一日政令第九二号）</w:t>
      </w:r>
    </w:p>
    <w:p>
      <w:r>
        <w:t>この政令は、平成十六年四月一日から施行する。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弁護士法第五条第一号の機関を定める政令</w:t>
      <w:br/>
      <w:tab/>
      <w:t>（昭和五十九年政令第二百二十一号）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弁護士法第五条第一号の機関を定める政令（昭和五十九年政令第二百二十一号）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