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復興推進会議令</w:t>
        <w:br/>
        <w:t>（平成二十四年政令第二十三号）</w:t>
      </w:r>
    </w:p>
    <w:p>
      <w:pPr>
        <w:pStyle w:val="Heading4"/>
      </w:pPr>
      <w:r>
        <w:t>第一条（議長）</w:t>
      </w:r>
    </w:p>
    <w:p>
      <w:r>
        <w:t>議長は、会務を総理する。</w:t>
      </w:r>
    </w:p>
    <w:p>
      <w:pPr>
        <w:pStyle w:val="Heading4"/>
      </w:pPr>
      <w:r>
        <w:t>第二条（副議長）</w:t>
      </w:r>
    </w:p>
    <w:p>
      <w:r>
        <w:t>副議長は、議長を助け、議長に事故があるときは、その職務を代理する。</w:t>
      </w:r>
    </w:p>
    <w:p>
      <w:pPr>
        <w:pStyle w:val="Heading4"/>
      </w:pPr>
      <w:r>
        <w:t>第三条（庶務）</w:t>
      </w:r>
    </w:p>
    <w:p>
      <w:r>
        <w:t>復興推進会議の庶務は、復興庁に置かれる統括官が処理する。</w:t>
      </w:r>
    </w:p>
    <w:p>
      <w:pPr>
        <w:pStyle w:val="Heading4"/>
      </w:pPr>
      <w:r>
        <w:t>第四条（復興推進会議の運営）</w:t>
      </w:r>
    </w:p>
    <w:p>
      <w:r>
        <w:t>前三条に定めるもののほか、議事の手続その他復興推進会議の運営に関し必要な事項は、議長が復興推進会議に諮って定める。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この政令は、復興庁設置法の施行の日（平成二十四年二月十日）から施行する。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復興推進会議令</w:t>
      <w:br/>
      <w:tab/>
      <w:t>（平成二十四年政令第二十三号）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復興推進会議令（平成二十四年政令第二十三号）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