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循環器病対策推進協議会令</w:t>
        <w:br/>
        <w:t>（令和元年政令第百四十一号）</w:t>
      </w:r>
    </w:p>
    <w:p>
      <w:pPr>
        <w:pStyle w:val="Heading4"/>
      </w:pPr>
      <w:r>
        <w:t>第一条（委員の任期）</w:t>
      </w:r>
    </w:p>
    <w:p>
      <w:r>
        <w:t>循環器病対策推進協議会（以下「協議会」という。）の委員の任期は、二年とする。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この政令は、健康寿命の延伸等を図るための脳卒中、心臓病その他の循環器病に係る対策に関する基本法の施行の日（令和元年十二月一日）から施行する。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循環器病対策推進協議会令</w:t>
      <w:br/>
      <w:tab/>
      <w:t>（令和元年政令第百四十一号）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循環器病対策推進協議会令（令和元年政令第百四十一号）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