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循環器病対策推進協議会令</w:t>
        <w:br/>
        <w:t>（令和元年政令第百四十一号）</w:t>
      </w:r>
    </w:p>
    <w:p>
      <w:pPr>
        <w:pStyle w:val="Heading4"/>
      </w:pPr>
      <w:r>
        <w:t>第一条（委員の任期）</w:t>
      </w:r>
    </w:p>
    <w:p>
      <w:r>
        <w:t>循環器病対策推進協議会（以下「協議会」という。）の委員の任期は、二年とする。</w:t>
      </w:r>
    </w:p>
    <w:p>
      <w:pPr>
        <w:pStyle w:val="Heading5"/>
        <w:ind w:left="440"/>
      </w:pPr>
      <w:r>
        <w:t>２</w:t>
      </w:r>
    </w:p>
    <w:p>
      <w:pPr>
        <w:ind w:left="440"/>
      </w:pPr>
      <w:r>
        <w:t>委員は、再任されることができる。</w:t>
      </w:r>
    </w:p>
    <w:p>
      <w:pPr>
        <w:pStyle w:val="Heading4"/>
      </w:pPr>
      <w:r>
        <w:t>第二条（会長）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協議会の庶務は、厚生労働省健康局がん・疾病対策課において処理する。</w:t>
      </w:r>
    </w:p>
    <w:p>
      <w:pPr>
        <w:pStyle w:val="Heading4"/>
      </w:pPr>
      <w:r>
        <w:t>第六条（協議会の運営）</w:t>
      </w:r>
    </w:p>
    <w:p>
      <w:r>
        <w:t>この政令に定めるもののほか、議事の手続その他協議会の運営に関し必要な事項は、会長が協議会に諮って定める。</w:t>
      </w:r>
    </w:p>
    <w:p>
      <w:r>
        <w:br w:type="page"/>
      </w:r>
    </w:p>
    <w:p>
      <w:pPr>
        <w:pStyle w:val="Heading1"/>
      </w:pPr>
      <w:r>
        <w:t>附　則</w:t>
      </w:r>
    </w:p>
    <w:p>
      <w:r>
        <w:t>この政令は、健康寿命の延伸等を図るための脳卒中、心臓病その他の循環器病に係る対策に関する基本法の施行の日（令和元年十二月一日）から施行する。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循環器病対策推進協議会令</w:t>
      <w:br/>
      <w:tab/>
      <w:t>（令和元年政令第百四十一号）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循環器病対策推進協議会令（令和元年政令第百四十一号）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