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情報通信審議会令</w:t>
        <w:br/>
        <w:t>（平成十二年政令第二百七十一号）</w:t>
      </w:r>
    </w:p>
    <w:p>
      <w:pPr>
        <w:pStyle w:val="Heading4"/>
      </w:pPr>
      <w:r>
        <w:t>第一条（組織）</w:t>
      </w:r>
    </w:p>
    <w:p>
      <w:r>
        <w:t>情報通信審議会（以下「審議会」という。）は、委員三十人以内で組織する。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審議会に、情報通信技術分科会（以下「分科会」という。）を置く。</w:t>
      </w:r>
    </w:p>
    <w:p>
      <w:pPr>
        <w:pStyle w:val="Heading5"/>
        <w:ind w:left="440"/>
      </w:pPr>
      <w:r>
        <w:t>２</w:t>
      </w:r>
    </w:p>
    <w:p>
      <w:pPr>
        <w:ind w:left="440"/>
      </w:pPr>
      <w:r>
        <w:t>分科会は、審議会の所掌事務のうち、情報の電磁的流通及び電波の利用の技術に関する政策に関する重要事項を調査審議することをつかさどる。</w:t>
      </w:r>
    </w:p>
    <w:p>
      <w:pPr>
        <w:pStyle w:val="Heading5"/>
        <w:ind w:left="440"/>
      </w:pPr>
      <w:r>
        <w:t>３</w:t>
      </w:r>
    </w:p>
    <w:p>
      <w:pPr>
        <w:ind w:left="440"/>
      </w:pPr>
      <w:r>
        <w:t>分科会に属すべき委員、臨時委員及び専門委員は、総務大臣が指名する。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審議会の庶務は、総務省情報流通行政局情報通信政策課において処理する。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附則（平成二九年九月一日政令第二三〇号）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情報通信審議会令</w:t>
      <w:br/>
      <w:tab/>
      <w:t>（平成十二年政令第二百七十一号）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情報通信審議会令（平成十二年政令第二百七十一号）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