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愛がん動物用飼料の安全性の確保に関する法律に係る民間事業者等が行う書面の保存等における情報通信の技術の利用に関する法律施行規則</w:t>
        <w:br/>
        <w:t>（平成二十一年農林水産省・環境省令第三号）</w:t>
      </w:r>
    </w:p>
    <w:p>
      <w:pPr>
        <w:pStyle w:val="Heading4"/>
      </w:pPr>
      <w:r>
        <w:t>第一条（趣旨）</w:t>
      </w:r>
    </w:p>
    <w:p>
      <w:r>
        <w:t>民間事業者等が、愛がん動物用飼料の安全性の確保に関する法律（平成二十年法律第八十三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法第三条第一項の主務省令で定める保存は、愛がん動物用飼料の安全性の確保に関する法律第十条の規定に基づく書面の保存とする。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法第四条第一項の主務省令で定める作成は、愛がん動物用飼料の安全性の確保に関する法律第十条の規定に基づく書面の作成とする。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この省令は、愛がん動物用飼料の安全性の確保に関する法律の施行の日（平成二十一年六月一日）から施行する。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愛がん動物用飼料の安全性の確保に関する法律に係る民間事業者等が行う書面の保存等における情報通信の技術の利用に関する法律施行規則</w:t>
      <w:br/>
      <w:tab/>
      <w:t>（平成二十一年農林水産省・環境省令第三号）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愛がん動物用飼料の安全性の確保に関する法律に係る民間事業者等が行う書面の保存等における情報通信の技術の利用に関する法律施行規則（平成二十一年農林水産省・環境省令第三号）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