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愛がん動物用飼料の安全性の確保に関する法律施行令</w:t>
        <w:br/>
        <w:t>（平成二十年政令第三百六十六号）</w:t>
      </w:r>
    </w:p>
    <w:p>
      <w:pPr>
        <w:pStyle w:val="Heading4"/>
      </w:pPr>
      <w:r>
        <w:t>第一条（愛がん動物）</w:t>
      </w:r>
    </w:p>
    <w:p>
      <w:r>
        <w:t>愛がん動物用飼料の安全性の確保に関する法律（以下「法」という。）第二条第一項の政令で定める動物は、犬及び猫とする。</w:t>
      </w:r>
    </w:p>
    <w:p>
      <w:pPr>
        <w:pStyle w:val="Heading4"/>
      </w:pPr>
      <w:r>
        <w:t>第二条（輸出用愛がん動物用飼料に関する特例）</w:t>
      </w:r>
    </w:p>
    <w:p>
      <w:r>
        <w:t>法第六条の規定は、愛がん動物用飼料の輸出のための製造、販売又は輸入については、適用しない。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4"/>
      </w:pPr>
      <w:r>
        <w:t>第一条（施行期日）</w:t>
      </w:r>
    </w:p>
    <w:p>
      <w:r>
        <w:t>この政令は、法の施行の日（平成二十一年六月一日）から施行する。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愛がん動物用飼料の安全性の確保に関する法律施行令</w:t>
      <w:br/>
      <w:tab/>
      <w:t>（平成二十年政令第三百六十六号）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愛がん動物用飼料の安全性の確保に関する法律施行令（平成二十年政令第三百六十六号）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