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成年後見制度利用促進会議令</w:t>
        <w:br/>
        <w:t>（平成二十八年政令第二百十五号）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成年後見制度利用促進会議（次条において「会議」という。）の庶務は、内閣府大臣官房企画調整課において処理する。</w:t>
      </w:r>
    </w:p>
    <w:p>
      <w:pPr>
        <w:pStyle w:val="Heading4"/>
      </w:pPr>
      <w:r>
        <w:t>第三条（会議の運営）</w:t>
      </w:r>
    </w:p>
    <w:p>
      <w:r>
        <w:t>前二条に定めるもののほか、議事の手続その他会議の運営に関し必要な事項は、会長が会議に諮って定める。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この政令は、成年後見制度の利用の促進に関する法律の施行の日（平成二十八年五月十三日）から施行する。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成年後見制度利用促進会議令</w:t>
      <w:br/>
      <w:tab/>
      <w:t>（平成二十八年政令第二百十五号）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成年後見制度利用促進会議令（平成二十八年政令第二百十五号）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