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成年後見制度利用促進委員会事務局組織規則</w:t>
        <w:br/>
        <w:t>（平成二十八年内閣府令第四十一号）</w:t>
      </w:r>
    </w:p>
    <w:p>
      <w:pPr>
        <w:pStyle w:val="Heading4"/>
      </w:pPr>
      <w:r>
        <w:t>第一条（参事官）</w:t>
      </w:r>
    </w:p>
    <w:p>
      <w:r>
        <w:t>成年後見制度利用促進委員会事務局（次条において「事務局」という。）に、参事官二人（関係のある他の職を占める者をもって充てられるものとする。）を置く。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参事官は、命を受けて、局務を分掌し、又は局務に関する重要事項の調査審議に参画する。</w:t>
      </w:r>
    </w:p>
    <w:p>
      <w:pPr>
        <w:pStyle w:val="Heading4"/>
      </w:pPr>
      <w:r>
        <w:t>第二条（企画官）</w:t>
      </w:r>
    </w:p>
    <w:p>
      <w:r>
        <w:t>事務局に、企画官一人（関係のある他の職を占める者をもって充てられるものとする。）を置く。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企画官は、命を受けて、局務のうち特定事項の調査、企画及び立案を行う。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この府令は、成年後見制度の利用の促進に関する法律（平成二十八年法律第二十九号）の施行の日（平成二十八年五月十三日）から施行する。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成年後見制度利用促進委員会事務局組織規則</w:t>
      <w:br/>
      <w:tab/>
      <w:t>（平成二十八年内閣府令第四十一号）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成年後見制度利用促進委員会事務局組織規則（平成二十八年内閣府令第四十一号）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