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戦没者の父母等に対する特別給付金支給法第五条第二項の規定により発行する国債の発行交付等に関する省令</w:t>
        <w:br/>
        <w:t>（昭和四十二年大蔵省令第四十一号）</w:t>
      </w:r>
    </w:p>
    <w:p>
      <w:pPr>
        <w:pStyle w:val="Heading4"/>
      </w:pPr>
      <w:r>
        <w:t>第一条（国債の名称及び額面金額）</w:t>
      </w:r>
    </w:p>
    <w:p>
      <w:r>
        <w:t>戦没者の父母等に対する特別給付金支給法（昭和四十二年法律第五十七号。以下「法」という。）第五条第二項の規定により発行する国債の名称及び額面金額は、次の表の各号の上欄に掲げる規定に係るものにつき、それぞれ当該各号の中欄に掲げる名称及び当該各号の下欄に掲げる額とする。</w:t>
      </w:r>
    </w:p>
    <w:p>
      <w:pPr>
        <w:pStyle w:val="Heading4"/>
      </w:pPr>
      <w:r>
        <w:t>第二条</w:t>
      </w:r>
    </w:p>
    <w:p>
      <w:r>
        <w:t>削除</w:t>
      </w:r>
    </w:p>
    <w:p>
      <w:pPr>
        <w:pStyle w:val="Heading4"/>
      </w:pPr>
      <w:r>
        <w:t>第三条（記名）</w:t>
      </w:r>
    </w:p>
    <w:p>
      <w:r>
        <w:t>第三回特別給付金国庫債券、第五回特別給付金国庫債券、第七回特別給付金国庫債券、第九回特別給付金国庫債券、第十四回特別給付金国庫債券、第十六回特別給付金国庫債券、第十九回特別給付金国庫債券、第二十一回特別給付金国庫債券、第二十四回特別給付金国庫債券及び第二十六回特別給付金国庫債券（以下「国債」という。）には、その裏面に厚生労働大臣又は戦没者の父母等に対する特別給付金支給法施行令（昭和四十二年政令第百八十八号）第三条の規定により厚生労働大臣の権限に属する事務を行うこととされた者が特別給付金を受ける権利を有する者として裁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五年間に均等償還の方法により毎年五月十五日（昭和四十八年五月一日、昭和五十三年四月一日、昭和五十八年四月一日、昭和六十三年四月一日、平成五年四月一日、平成十年四月一日、平成十五年四月一日、平成二十年四月一日及び平成二十五年四月一日を発行日とする国債については毎年九月十四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内にあるときは福岡財務支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国債は、交付通知書に指定された日本銀行の本店、支店又は代理店において、戦没者の父母等に対する特別給付金支給法施行規則（昭和四十二年厚生省令第二十二号。次条第二項において「施行規則」という。）第三条第一項の規定による戦没者の父母等に対する特別給付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第五項、第六項、第七項、第八項、第九項、第十項、第十一項、第十二項又は第十三項の規定による特別給付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前項の届出は、施行規則第一条第一項に規定する戦没者の父母等に対する特別給付金請求書を提出する際に、これに添えて、第二号書式による氏名等届出書により行うものとする。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附則（昭和四八年七月二四日大蔵省令第四〇号）</w:t>
      </w:r>
    </w:p>
    <w:p>
      <w:pPr>
        <w:pStyle w:val="Heading5"/>
        <w:ind w:left="440"/>
      </w:pPr>
      <w:r>
        <w:t>１</w:t>
      </w:r>
    </w:p>
    <w:p>
      <w:pPr>
        <w:ind w:left="440"/>
      </w:pPr>
      <w:r>
        <w:t>この省令は、公布の日から施行し、昭和四十八年五月一日から適用する。</w:t>
      </w:r>
    </w:p>
    <w:p>
      <w:r>
        <w:br w:type="page"/>
      </w:r>
    </w:p>
    <w:p>
      <w:pPr>
        <w:pStyle w:val="Heading1"/>
      </w:pPr>
      <w:r>
        <w:t>附則（昭和五三年四月二八日大蔵省令第二八号）</w:t>
      </w:r>
    </w:p>
    <w:p>
      <w:pPr>
        <w:pStyle w:val="Heading5"/>
        <w:ind w:left="440"/>
      </w:pPr>
      <w:r>
        <w:t>１</w:t>
      </w:r>
    </w:p>
    <w:p>
      <w:pPr>
        <w:ind w:left="440"/>
      </w:pPr>
      <w:r>
        <w:t>この省令は、公布の日から施行し、昭和五十三年四月一日から適用する。</w:t>
      </w:r>
    </w:p>
    <w:p>
      <w:pPr>
        <w:pStyle w:val="Heading5"/>
        <w:ind w:left="440"/>
      </w:pPr>
      <w:r>
        <w:t>３</w:t>
      </w:r>
    </w:p>
    <w:p>
      <w:pPr>
        <w:ind w:left="440"/>
      </w:pPr>
      <w:r>
        <w:t>改正前の書式による用紙は、当分の間、使用することができる。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附則（昭和五八年五月四日大蔵省令第二七号）</w:t>
      </w:r>
    </w:p>
    <w:p>
      <w:r>
        <w:t>この省令は、公布の日から施行し、昭和五十八年四月一日から適用する。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附則（昭和六一年七月一八日大蔵省令第三九号）</w:t>
      </w:r>
    </w:p>
    <w:p>
      <w:r>
        <w:t>この省令は、昭和六十一年八月一日から施行する。</w:t>
      </w:r>
    </w:p>
    <w:p>
      <w:r>
        <w:br w:type="page"/>
      </w:r>
    </w:p>
    <w:p>
      <w:pPr>
        <w:pStyle w:val="Heading1"/>
      </w:pPr>
      <w:r>
        <w:t>附則（昭和六二年三月三一日大蔵省令第一五号）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附則（昭和六三年五月二六日大蔵省令第二四号）</w:t>
      </w:r>
    </w:p>
    <w:p>
      <w:r>
        <w:t>この省令は、公布の日から施行し、昭和六十三年四月一日から適用する。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附則（平成五年五月一九日大蔵省令第五五号）</w:t>
      </w:r>
    </w:p>
    <w:p>
      <w:pPr>
        <w:pStyle w:val="Heading5"/>
        <w:ind w:left="440"/>
      </w:pPr>
      <w:r>
        <w:t>１</w:t>
      </w:r>
    </w:p>
    <w:p>
      <w:pPr>
        <w:ind w:left="440"/>
      </w:pPr>
      <w:r>
        <w:t>この省令は、公布の日から施行し、平成五年四月一日から適用する。</w:t>
      </w:r>
    </w:p>
    <w:p>
      <w:r>
        <w:br w:type="page"/>
      </w:r>
    </w:p>
    <w:p>
      <w:pPr>
        <w:pStyle w:val="Heading1"/>
      </w:pPr>
      <w:r>
        <w:t>附則（平成一〇年三月三一日大蔵省令第四〇号）</w:t>
      </w:r>
    </w:p>
    <w:p>
      <w:r>
        <w:t>この省令は、平成十年四月一日から施行する。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附則（平成一五年三月三一日財務省令第四九号）</w:t>
      </w:r>
    </w:p>
    <w:p>
      <w:r>
        <w:t>この省令は、平成十五年四月一日から施行する。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附則（平成二〇年四月二八日財務省令第二三号）</w:t>
      </w:r>
    </w:p>
    <w:p>
      <w:r>
        <w:t>この省令は、公布の日から施行し、平成二十年四月一日から適用する。</w:t>
      </w:r>
    </w:p>
    <w:p>
      <w:r>
        <w:br w:type="page"/>
      </w:r>
    </w:p>
    <w:p>
      <w:pPr>
        <w:pStyle w:val="Heading1"/>
      </w:pPr>
      <w:r>
        <w:t>附則（平成二五年六月一二日財務省令第四二号）</w:t>
      </w:r>
    </w:p>
    <w:p>
      <w:r>
        <w:t>この省令は、公布の日から施行し、平成二十五年四月一日から適用する。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六</w:t>
        <w:br/>
        <w:t>戦没者の父母等に対する特別給付金支給法第五条第二項の規定により発行する国債の発行交付等に関する省令第一条の第三回特別給付金国庫債券、第五回特別給付金国庫債券、第七回特別給付金国庫債券、第九回特別給付金国庫債券、第十四回特別給付金国庫債券、第十六回特別給付金国庫債券、第十九回特別給付金国庫債券、第二十一回特別給付金国庫債券、第二十四回特別給付金国庫債券及び第二十六回特別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戦没者の父母等に対する特別給付金支給法第五条第二項の規定により発行する国債の発行交付等に関する省令</w:t>
      <w:br/>
      <w:tab/>
      <w:t>（昭和四十二年大蔵省令第四十一号）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戦没者の父母等に対する特別給付金支給法第五条第二項の規定により発行する国債の発行交付等に関する省令（昭和四十二年大蔵省令第四十一号）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