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戦没者等の妻に対する特別給付金支給法施行令第一条第一項第三号に規定する担保権者を定める省令</w:t>
        <w:br/>
        <w:t>（昭和三十九年大蔵省令第四十八号）</w:t>
      </w:r>
    </w:p>
    <w:p>
      <w:r>
        <w:t>株式会社日本政策金融公庫</w:t>
      </w:r>
    </w:p>
    <w:p>
      <w:r>
        <w:br w:type="page"/>
      </w:r>
    </w:p>
    <w:p>
      <w:pPr>
        <w:pStyle w:val="Heading1"/>
      </w:pPr>
      <w:r>
        <w:t>附　則</w:t>
      </w:r>
    </w:p>
    <w:p>
      <w:r>
        <w:t>この省令は、公布の日から施行し、昭和三十九年七月十日から適用する。</w:t>
      </w:r>
    </w:p>
    <w:p>
      <w:r>
        <w:br w:type="page"/>
      </w:r>
    </w:p>
    <w:p>
      <w:pPr>
        <w:pStyle w:val="Heading1"/>
      </w:pPr>
      <w:r>
        <w:t>附則（昭和五〇年五月一日大蔵省令第二一号）</w:t>
      </w:r>
    </w:p>
    <w:p>
      <w:r>
        <w:t>この省令は、公布の日から施行する。</w:t>
      </w:r>
    </w:p>
    <w:p>
      <w:r>
        <w:br w:type="page"/>
      </w:r>
    </w:p>
    <w:p>
      <w:pPr>
        <w:pStyle w:val="Heading1"/>
      </w:pPr>
      <w:r>
        <w:t>附則（昭和五八年五月四日大蔵省令第二七号）</w:t>
      </w:r>
    </w:p>
    <w:p>
      <w:r>
        <w:t>この省令は、公布の日から施行し、昭和五十八年四月一日から適用する。</w:t>
      </w:r>
    </w:p>
    <w:p>
      <w:r>
        <w:br w:type="page"/>
      </w:r>
    </w:p>
    <w:p>
      <w:pPr>
        <w:pStyle w:val="Heading1"/>
      </w:pPr>
      <w:r>
        <w:t>附則（平成一一年九月三〇日大蔵省令第八七号）</w:t>
      </w:r>
    </w:p>
    <w:p>
      <w:r>
        <w:t>この省令は、平成十一年十月一日から施行する。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戦没者等の妻に対する特別給付金支給法施行令第一条第一項第三号に規定する担保権者を定める省令</w:t>
      <w:br/>
      <w:tab/>
      <w:t>（昭和三十九年大蔵省令第四十八号）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戦没者等の妻に対する特別給付金支給法施行令第一条第一項第三号に規定する担保権者を定める省令（昭和三十九年大蔵省令第四十八号）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