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戦没者等の妻に対する特別給付金支給法施行令</w:t>
        <w:br/>
        <w:t>（昭和三十八年政令第百二十五号）</w:t>
      </w:r>
    </w:p>
    <w:p>
      <w:pPr>
        <w:pStyle w:val="Heading4"/>
      </w:pPr>
      <w:r>
        <w:t>第一条（国債の譲渡及び担保権の設定）</w:t>
      </w:r>
    </w:p>
    <w:p>
      <w:r>
        <w:t>戦没者等の妻に対する特別給付金支給法（以下「法」という。）第四条第二項の規定により発行する国債（以下この条において単に「国債」という。）について譲渡又は担保権の設定をすることができるのは、次の各号のいずれかに該当する場合に限る。</w:t>
      </w:r>
    </w:p>
    <w:p>
      <w:pPr>
        <w:pStyle w:val="ListBullet"/>
        <w:ind w:left="880"/>
      </w:pPr>
      <w:r>
        <w:t>一</w:t>
        <w:br/>
        <w:t>国に譲渡する場合</w:t>
      </w:r>
    </w:p>
    <w:p>
      <w:pPr>
        <w:pStyle w:val="ListBullet"/>
        <w:ind w:left="880"/>
      </w:pPr>
      <w:r>
        <w:t>二</w:t>
        <w:br/>
        <w:t>地方公共団体に対し担保権の設定をする場合</w:t>
      </w:r>
    </w:p>
    <w:p>
      <w:pPr>
        <w:pStyle w:val="ListBullet"/>
        <w:ind w:left="880"/>
      </w:pPr>
      <w:r>
        <w:t>三</w:t>
        <w:br/>
        <w:t>財務省令で定める者に対し担保権の設定をする場合</w:t>
      </w:r>
    </w:p>
    <w:p>
      <w:pPr>
        <w:pStyle w:val="Heading5"/>
        <w:ind w:left="440"/>
      </w:pPr>
      <w:r>
        <w:t>２</w:t>
      </w:r>
    </w:p>
    <w:p>
      <w:pPr>
        <w:ind w:left="440"/>
      </w:pPr>
      <w:r>
        <w:t>前項第一号の規定により国債（財務大臣が定めるものに限る。）を国に譲渡しようとする者は、災害その他特別の事情があると認められる場合を除き、次項又は第四項に規定する証明書を添えて行わなければならない。</w:t>
      </w:r>
    </w:p>
    <w:p>
      <w:pPr>
        <w:pStyle w:val="Heading5"/>
        <w:ind w:left="440"/>
      </w:pPr>
      <w:r>
        <w:t>３</w:t>
      </w:r>
    </w:p>
    <w:p>
      <w:pPr>
        <w:ind w:left="440"/>
      </w:pPr>
      <w:r>
        <w:t>国債の記名者の居住地の都道府県知事は、国債の記名者の申出により、当該者が生活保護法（昭和二十五年法律第百四十四号）第六条第一項に規定する被保護者その他経済的に困窮しているものであること及び当該国債につき法第三条第七項に規定する裁定の取消しが行われていないことの確認をするものとし、当該確認をした当該都道府県知事は、その旨の証明書を交付するものとする。</w:t>
      </w:r>
    </w:p>
    <w:p>
      <w:pPr>
        <w:pStyle w:val="Heading5"/>
        <w:ind w:left="440"/>
      </w:pPr>
      <w:r>
        <w:t>４</w:t>
      </w:r>
    </w:p>
    <w:p>
      <w:pPr>
        <w:ind w:left="440"/>
      </w:pPr>
      <w:r>
        <w:t>国債の記名者の居住地の都道府県知事（国債の記名者が死亡した場合にあつては、当該国債の記名者の死亡の際における居住地の都道府県知事）は、国債の記名者の破産管財人又は国債の記名者が死亡した場合におけるその相続人若しくは相続財産の管理人の申出により、当該国債の記名者の債務を弁済するために当該国債の記名者の財産又は相続財産の処分を必要とすること及び当該国債につき法第三条第七項に規定する裁定の取消しが行われていないことの確認をするものとし、当該確認をした当該都道府県知事は、その旨の証明書を交付するものとする。</w:t>
      </w:r>
    </w:p>
    <w:p>
      <w:pPr>
        <w:pStyle w:val="Heading4"/>
      </w:pPr>
      <w:r>
        <w:t>第二条（特別給付金の請求等に係る経由）</w:t>
      </w:r>
    </w:p>
    <w:p>
      <w:r>
        <w:t>特別給付金に関する請求及び法第十一条の二第二項の規定に基づく届出は、厚生労働省令で定めるところにより、市町村長（特別区の区長を含む。）又は都道府県知事を経由して行わなければならない。</w:t>
      </w:r>
    </w:p>
    <w:p>
      <w:pPr>
        <w:pStyle w:val="Heading4"/>
      </w:pPr>
      <w:r>
        <w:t>第三条（都道府県が処理する事務）</w:t>
      </w:r>
    </w:p>
    <w:p>
      <w:r>
        <w:t>法第三条第七項に定める厚生労働大臣の権限に属する事務のうち、死亡した者で除籍された当時における本籍地（その者が戦傷病者戦没者遺族等援護法（昭和二十七年法律第百二十七号。以下「遺族援護法」という。）第二条第三項第一号に掲げる者（同条第一項第二号若しくは第三号又は同条第三項第六号に掲げる者を除く。）及び同条第三項第三号に掲げる者である場合には、その者の死亡の原因となつた負傷又は疾病の生じた当時その者が配置され、又は出動していた工場、事業場等の所在地とする。以下この条の表において同じ。）が次の表の上欄に掲げる地域にあつたものに係るものは、それぞれ、同表の下欄に掲げる者が行うこととし、死亡した当時における本籍地が歯舞群島、色丹島、択捉島、国後島、樺太又は千島列島にあつた死亡した者で除籍されていないものに係るものは、北海道知事が行うこととする。</w:t>
        <w:br/>
        <w:t>この場合においては、法の規定中当該事務に係る厚生労働大臣に関する規定は、都道府県知事に関する規定として都道府県知事に適用があるものとする。</w:t>
      </w:r>
    </w:p>
    <w:p>
      <w:pPr>
        <w:pStyle w:val="Heading4"/>
      </w:pPr>
      <w:r>
        <w:t>第四条（事務の区分）</w:t>
      </w:r>
    </w:p>
    <w:p>
      <w:r>
        <w:t>第一条第三項及び第四項並びに前二条の規定により都道府県が処理することとされている事務並びに第二条の規定により市町村（特別区を含む。）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5"/>
        <w:ind w:left="440"/>
      </w:pPr>
      <w:r>
        <w:t>１</w:t>
      </w:r>
    </w:p>
    <w:p>
      <w:pPr>
        <w:ind w:left="440"/>
      </w:pPr>
      <w:r>
        <w:t>この政令は、公布の日から施行する。</w:t>
      </w:r>
    </w:p>
    <w:p>
      <w:r>
        <w:br w:type="page"/>
      </w:r>
    </w:p>
    <w:p>
      <w:pPr>
        <w:pStyle w:val="Heading1"/>
      </w:pPr>
      <w:r>
        <w:t>附則（昭和三八年五月二日政令第一五七号）</w:t>
      </w:r>
    </w:p>
    <w:p>
      <w:pPr>
        <w:pStyle w:val="Heading5"/>
        <w:ind w:left="440"/>
      </w:pPr>
      <w:r>
        <w:t>１</w:t>
      </w:r>
    </w:p>
    <w:p>
      <w:pPr>
        <w:ind w:left="440"/>
      </w:pPr>
      <w:r>
        <w:t>この政令は、昭和三十八年十月一日から施行する。</w:t>
      </w:r>
    </w:p>
    <w:p>
      <w:r>
        <w:br w:type="page"/>
      </w:r>
    </w:p>
    <w:p>
      <w:pPr>
        <w:pStyle w:val="Heading1"/>
      </w:pPr>
      <w:r>
        <w:t>附則（昭和四三年五月一日政令第一一二号）</w:t>
      </w:r>
    </w:p>
    <w:p>
      <w:r>
        <w:t>この政令は、公布の日から施行する。</w:t>
      </w:r>
    </w:p>
    <w:p>
      <w:r>
        <w:br w:type="page"/>
      </w:r>
    </w:p>
    <w:p>
      <w:pPr>
        <w:pStyle w:val="Heading1"/>
      </w:pPr>
      <w:r>
        <w:t>附則（昭和四五年五月一日政令第一一〇号）</w:t>
      </w:r>
    </w:p>
    <w:p>
      <w:r>
        <w:t>この政令は、公布の日から施行する。</w:t>
      </w:r>
    </w:p>
    <w:p>
      <w:r>
        <w:br w:type="page"/>
      </w:r>
    </w:p>
    <w:p>
      <w:pPr>
        <w:pStyle w:val="Heading1"/>
      </w:pPr>
      <w:r>
        <w:t>附則（昭和四七年四月二八日政令第一〇九号）</w:t>
      </w:r>
    </w:p>
    <w:p>
      <w:r>
        <w:t>この政令は、琉球諸島及び大東諸島に関する日本国とアメリカ合衆国との間の協定の効力発生の日（昭和四十七年五月十五日）から施行する。</w:t>
      </w:r>
    </w:p>
    <w:p>
      <w:r>
        <w:br w:type="page"/>
      </w:r>
    </w:p>
    <w:p>
      <w:pPr>
        <w:pStyle w:val="Heading1"/>
      </w:pPr>
      <w:r>
        <w:t>附則（昭和四八年七月二四日政令第二〇七号）</w:t>
      </w:r>
    </w:p>
    <w:p>
      <w:r>
        <w:t>この政令は、昭和四十八年十月一日から施行する。</w:t>
        <w:br/>
        <w:t>ただし、第二条の規定は、公布の日から施行する。</w:t>
      </w:r>
    </w:p>
    <w:p>
      <w:r>
        <w:br w:type="page"/>
      </w:r>
    </w:p>
    <w:p>
      <w:pPr>
        <w:pStyle w:val="Heading1"/>
      </w:pPr>
      <w:r>
        <w:t>附則（昭和五八年五月二七日政令第一一四号）</w:t>
      </w:r>
    </w:p>
    <w:p>
      <w:r>
        <w:t>この政令は、公布の日から施行する。</w:t>
      </w:r>
    </w:p>
    <w:p>
      <w:r>
        <w:br w:type="page"/>
      </w:r>
    </w:p>
    <w:p>
      <w:pPr>
        <w:pStyle w:val="Heading1"/>
      </w:pPr>
      <w:r>
        <w:t>附則（平成五年五月一九日政令第一七一号）</w:t>
      </w:r>
    </w:p>
    <w:p>
      <w:r>
        <w:t>この政令は、公布の日から施行する。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附則（平成一五年三月三一日政令第一五二号）</w:t>
      </w:r>
    </w:p>
    <w:p>
      <w:r>
        <w:t>この政令は、平成十五年四月一日から施行する。</w:t>
      </w:r>
    </w:p>
    <w:p>
      <w:r>
        <w:br w:type="page"/>
      </w:r>
    </w:p>
    <w:p>
      <w:pPr>
        <w:pStyle w:val="Heading1"/>
      </w:pPr>
      <w:r>
        <w:t>附則（平成二五年六月一二日政令第一七五号）</w:t>
      </w:r>
    </w:p>
    <w:p>
      <w:r>
        <w:t>この政令は、公布の日から施行する。</w:t>
      </w:r>
    </w:p>
    <w:p>
      <w:r>
        <w:br w:type="page"/>
      </w:r>
    </w:p>
    <w:p>
      <w:pPr>
        <w:pStyle w:val="Heading1"/>
      </w:pPr>
      <w:r>
        <w:t>附則（平成二七年三月三一日政令第一二八号）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戦没者等の妻に対する特別給付金支給法施行令</w:t>
      <w:br/>
      <w:tab/>
      <w:t>（昭和三十八年政令第百二十五号）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戦没者等の妻に対する特別給付金支給法施行令（昭和三十八年政令第百二十五号）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