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戦没者等の妻に対する特別給付金支給法第四条第二項の規定により発行する国債の発行交付等に関する省令</w:t>
        <w:br/>
        <w:t>（昭和三十八年大蔵省令第二十五号）</w:t>
      </w:r>
    </w:p>
    <w:p>
      <w:pPr>
        <w:pStyle w:val="Heading4"/>
      </w:pPr>
      <w:r>
        <w:t>第一条（国債の名称及び額面金額）</w:t>
      </w:r>
    </w:p>
    <w:p>
      <w:r>
        <w:t>戦没者等の妻に対する特別給付金支給法（昭和三十八年法律第六十一号。以下「法」という。）第四条第二項の規定により発行する国債の名称及び額面金額は、次の表の各号の上欄に掲げる規定に係るものにつき、それぞれ当該各号の中欄に掲げる名称及び当該各号の下欄に掲げる額とする。</w:t>
      </w:r>
    </w:p>
    <w:p>
      <w:pPr>
        <w:pStyle w:val="Heading4"/>
      </w:pPr>
      <w:r>
        <w:t>第二条</w:t>
      </w:r>
    </w:p>
    <w:p>
      <w:r>
        <w:t>削除</w:t>
      </w:r>
    </w:p>
    <w:p>
      <w:pPr>
        <w:pStyle w:val="Heading4"/>
      </w:pPr>
      <w:r>
        <w:t>第三条（記名）</w:t>
      </w:r>
    </w:p>
    <w:p>
      <w:r>
        <w:t>特別給付金国庫債券、第四回特別給付金国庫債券、第十回特別給付金国庫債券、第十七回特別給付金国庫債券、第二十二回特別給付金国庫債券及び第二十七回特別給付金国庫債券（以下「国債」という。）には、その裏面に厚生労働大臣又は戦没者等の妻に対する特別給付金支給法施行令（昭和三十八年政令第百二十五号）第三条の規定により厚生労働大臣の権限に属する事務を行うこととされた者が特別給付金を受ける権利を有する者として裁定した者（以下「受取人」という。）の氏名（第十一条の規定による記名の変更の手続がなされた場合においては、当該変更後の氏名）を記載し、その賦札に「記名」の二字を表示する。</w:t>
      </w:r>
    </w:p>
    <w:p>
      <w:pPr>
        <w:pStyle w:val="Heading4"/>
      </w:pPr>
      <w:r>
        <w:t>第四条（登録の禁止）</w:t>
      </w:r>
    </w:p>
    <w:p>
      <w:r>
        <w:t>国債は、登録することができない。</w:t>
      </w:r>
    </w:p>
    <w:p>
      <w:pPr>
        <w:pStyle w:val="Heading4"/>
      </w:pPr>
      <w:r>
        <w:t>第五条（償還金の支払）</w:t>
      </w:r>
    </w:p>
    <w:p>
      <w:r>
        <w:t>国債の償還金は、発行の日から十年間に均等償還の方法により毎年四月三十日及び十月三十一日（昭和六十年九月一日を発行日とする国債については毎年二月二十八日及び八月三十一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国債の交付価格は、額面金額百円について百円とする。</w:t>
      </w:r>
    </w:p>
    <w:p>
      <w:pPr>
        <w:pStyle w:val="Heading4"/>
      </w:pPr>
      <w:r>
        <w:t>第七条（交付の通知）</w:t>
      </w:r>
    </w:p>
    <w:p>
      <w:r>
        <w:t>財務大臣は、厚生労働大臣から国債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国債は、交付通知書に指定された日本銀行の本店、支店又は代理店において、戦没者等の妻に対する特別給付金支給法施行規則（昭和三十八年厚生省令第十三号。次条第二項において「施行規則」という。）第三条第一項の規定による戦没者等の妻に対する特別給付金裁定通知書（次項において「裁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裁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第一項、第二項、第三項、第四項、第五項又は第六項の規定による特別給付金を請求しようとする者は、国債の交付及びその償還金の支払の際照合の用に供するための氏名及び住所並びに当該国債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前項の届出は、施行規則第一条第一項に規定する戦没者等の妻に対する特別給付金請求書を提出する際に、これに添えて、第二号書式による氏名等届出書により行うものとする。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国債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国債の償還金は、指定日本銀行等において、支払を請求する者が受取人本人であることを示す書類の呈示を求めた上、賦札と引換えに支払うものとする。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国債の償還金の支払をしようとする場合において、その支払を受けようとする者が当該国債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国債の受取人の死亡、氏名の変更その他の理由により国債に記載された氏名を変更しようとするときは、その相続人又は受取人は、第五号書式による記名変更請求書に戸籍謄本、戸籍抄本又は相続その他の事実を証明する書類及び当該国債を添えて、変更を請求する者が相続人又は受取人本人であることを示す書類を呈示の上、指定日本銀行等に提出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附則（昭和四八年七月二四日大蔵省令第四〇号）</w:t>
      </w:r>
    </w:p>
    <w:p>
      <w:pPr>
        <w:pStyle w:val="Heading5"/>
        <w:ind w:left="440"/>
      </w:pPr>
      <w:r>
        <w:t>１</w:t>
      </w:r>
    </w:p>
    <w:p>
      <w:pPr>
        <w:ind w:left="440"/>
      </w:pPr>
      <w:r>
        <w:t>この省令は、公布の日から施行し、昭和四十八年五月一日から適用する。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附則（昭和五八年五月四日大蔵省令第二七号）</w:t>
      </w:r>
    </w:p>
    <w:p>
      <w:r>
        <w:t>この省令は、公布の日から施行し、昭和五十八年四月一日から適用する。</w:t>
      </w:r>
    </w:p>
    <w:p>
      <w:r>
        <w:br w:type="page"/>
      </w:r>
    </w:p>
    <w:p>
      <w:pPr>
        <w:pStyle w:val="Heading1"/>
      </w:pPr>
      <w:r>
        <w:t>附則（昭和五八年八月二五日大蔵省令第四二号）</w:t>
      </w:r>
    </w:p>
    <w:p>
      <w:r>
        <w:t>この省令は、公布の日から施行する。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附則（昭和六〇年八月二一日大蔵省令第四七号）</w:t>
      </w:r>
    </w:p>
    <w:p>
      <w:r>
        <w:t>この省令は、公布の日から施行する。</w:t>
      </w:r>
    </w:p>
    <w:p>
      <w:r>
        <w:br w:type="page"/>
      </w:r>
    </w:p>
    <w:p>
      <w:pPr>
        <w:pStyle w:val="Heading1"/>
      </w:pPr>
      <w:r>
        <w:t>附則（昭和六二年三月三一日大蔵省令第一五号）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附則（平成元年一月二〇日大蔵省令第二号）</w:t>
      </w:r>
    </w:p>
    <w:p>
      <w:r>
        <w:t>この省令は、平成元年二月一日から施行する。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附則（平成五年五月一九日大蔵省令第五五号）</w:t>
      </w:r>
    </w:p>
    <w:p>
      <w:pPr>
        <w:pStyle w:val="Heading5"/>
        <w:ind w:left="440"/>
      </w:pPr>
      <w:r>
        <w:t>１</w:t>
      </w:r>
    </w:p>
    <w:p>
      <w:pPr>
        <w:ind w:left="440"/>
      </w:pPr>
      <w:r>
        <w:t>この省令は、公布の日から施行し、平成五年四月一日から適用する。</w:t>
      </w:r>
    </w:p>
    <w:p>
      <w:pPr>
        <w:pStyle w:val="Heading5"/>
        <w:ind w:left="440"/>
      </w:pPr>
      <w:r>
        <w:t>２</w:t>
      </w:r>
    </w:p>
    <w:p>
      <w:pPr>
        <w:ind w:left="440"/>
      </w:pPr>
      <w:r>
        <w:t>改正前の書式による用紙は、当分の間、使用することができる。</w:t>
      </w:r>
    </w:p>
    <w:p>
      <w:r>
        <w:br w:type="page"/>
      </w:r>
    </w:p>
    <w:p>
      <w:pPr>
        <w:pStyle w:val="Heading1"/>
      </w:pPr>
      <w:r>
        <w:t>附則（平成一二年三月二四日大蔵省令第一七号）</w:t>
      </w:r>
    </w:p>
    <w:p>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附則（平成一五年三月三一日財務省令第四九号）</w:t>
      </w:r>
    </w:p>
    <w:p>
      <w:r>
        <w:t>この省令は、平成十五年四月一日から施行する。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附則（平成二五年六月一二日財務省令第四二号）</w:t>
      </w:r>
    </w:p>
    <w:p>
      <w:r>
        <w:t>この省令は、公布の日から施行し、平成二十五年四月一日から適用する。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ListBullet"/>
        <w:ind w:left="880"/>
      </w:pPr>
      <w:r>
        <w:t>三</w:t>
        <w:br/>
        <w:t>戦没者等の妻に対する特別給付金支給法第四条第二項の規定により発行する国債の発行交付等に関する省令第一条の特別給付金国庫債券、第四回特別給付金国庫債券、第十回特別給付金国庫債券、第十七回特別給付金国庫債券、第二十二回特別給付金国庫債券及び第二十七回特別給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戦没者等の妻に対する特別給付金支給法第四条第二項の規定により発行する国債の発行交付等に関する省令</w:t>
      <w:br/>
      <w:tab/>
      <w:t>（昭和三十八年大蔵省令第二十五号）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戦没者等の妻に対する特別給付金支給法第四条第二項の規定により発行する国債の発行交付等に関する省令（昭和三十八年大蔵省令第二十五号）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