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戦没者等の遺族に対する特別弔慰金支給法施行令</w:t>
        <w:br/>
        <w:t>（昭和四十年政令第百八十三号）</w:t>
      </w:r>
    </w:p>
    <w:p>
      <w:pPr>
        <w:pStyle w:val="Heading4"/>
      </w:pPr>
      <w:r>
        <w:t>第一条（国債の譲渡及び担保権の設定）</w:t>
      </w:r>
    </w:p>
    <w:p>
      <w:r>
        <w:t>戦没者等の遺族に対する特別弔慰金支給法（以下「法」という。）第五条第二項の規定により発行する国債（以下この条において単に「国債」という。）について譲渡又は担保権の設定をすることができるのは、次の各号のいずれかに該当する場合に限る。</w:t>
      </w:r>
    </w:p>
    <w:p>
      <w:pPr>
        <w:pStyle w:val="Heading6"/>
        <w:ind w:left="880"/>
      </w:pPr>
      <w:r>
        <w:t>一</w:t>
      </w:r>
    </w:p>
    <w:p>
      <w:pPr>
        <w:ind w:left="880"/>
      </w:pPr>
      <w:r>
        <w:t>国に譲渡をする場合</w:t>
      </w:r>
    </w:p>
    <w:p>
      <w:pPr>
        <w:pStyle w:val="Heading6"/>
        <w:ind w:left="880"/>
      </w:pPr>
      <w:r>
        <w:t>二</w:t>
      </w:r>
    </w:p>
    <w:p>
      <w:pPr>
        <w:ind w:left="880"/>
      </w:pPr>
      <w:r>
        <w:t>地方公共団体に対し担保権の設定をする場合</w:t>
      </w:r>
    </w:p>
    <w:p>
      <w:pPr>
        <w:pStyle w:val="Heading6"/>
        <w:ind w:left="880"/>
      </w:pPr>
      <w:r>
        <w:t>三</w:t>
      </w:r>
    </w:p>
    <w:p>
      <w:pPr>
        <w:ind w:left="880"/>
      </w:pPr>
      <w: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四条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四条に規定する裁定の取消しが行われていないことの確認をするものとし、当該確認をした当該都道府県知事は、その旨の証明書を交付するものとする。</w:t>
      </w:r>
    </w:p>
    <w:p>
      <w:pPr>
        <w:pStyle w:val="Heading4"/>
      </w:pPr>
      <w:r>
        <w:t>第二条（特別弔慰金の請求等に係る経由）</w:t>
      </w:r>
    </w:p>
    <w:p>
      <w:r>
        <w:t>特別弔慰金に関する請求、法第二条の三の規定に基づく申請及び法第十三条の二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四条に定める厚生労働大臣の権限に属する事務のうち、死亡した者で除籍された当時における本籍地（その者が戦傷病者戦没者遺族等援護法（昭和二十七年法律第百二十七号）第二条第三項第一号に掲げる者（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　則（昭和四三年五月一日政令第一一二号）</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戦没者等の遺族に対する特別弔慰金支給法施行令</w:t>
      <w:br/>
      <w:tab/>
      <w:t>（昭和四十年政令第百八十三号）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戦没者等の遺族に対する特別弔慰金支給法施行令（昭和四十年政令第百八十三号）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