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技術研究組合法に係る民間事業者等が行う書面の保存等における情報通信の技術の利用に関する法律施行規則</w:t>
        <w:br/>
        <w:t>（平成二十一年総務省・財務省・文部科学省・厚生労働省・農林水産省・経済産業省・国土交通省・環境省令第一号）</w:t>
      </w:r>
    </w:p>
    <w:p>
      <w:pPr>
        <w:pStyle w:val="Heading4"/>
      </w:pPr>
      <w:r>
        <w:t>第一条（趣旨）</w:t>
      </w:r>
    </w:p>
    <w:p>
      <w:r>
        <w:t>民間事業者等が、技術研究組合法（昭和三十六年法律第八十一号）に係る保存等を、電磁的記録を使用して行う場合については、この省令の定めるところによる。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技術研究組合法第三十条第三項並びに第三十八条第三項及び第九項（これらの規定を同法第六十条において準用する場合を含む。以下同じ。）、同法第六十三条第一項及び第七十九条第一項（これらの規定を同法第八十七条において準用する場合を含む。）、同法第百十一条第一項及び第百十六条第一項（これらの規定を同法第百三十四条又は第百四十三条において準用する場合を含む。）並びに同法第七条第二項、第十九条第一項、第三十条第四項、第三十八条第十項、第三十九条第二項、第五十四条第二項及び第三項、第九十一条第一項、第九十四条第一項、第九十八条第一項、第百二条第一項並びに第百七条第一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技術研究組合法第十九条第一項、第三十条第三項及び第四項、第三十八条第三項、第九項及び第十項、第三十九条第二項、第五十四条第二項及び第三項並びに第百二条第一項の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4"/>
      </w:pPr>
      <w:r>
        <w:t>第五条（法第五条第一項の主務省令で定める縦覧等）</w:t>
      </w:r>
    </w:p>
    <w:p>
      <w:r>
        <w:t>法第五条第一項の主務省令で定める縦覧等は、技術研究組合法第三十条第五項第一号及び第三十八条第十一項第一号（これらの規定を同法第六十条において準用する場合を含む。）、第六十三条第三項第一号及び第七十九条第二項第一号（これらの規定を同法第八十七条において準用する場合を含む。）、第百十一条第三項第一号及び第百十六条第二項第一号（これらの規定を同法第百三十四条又は第百四十三条において準用する場合を含む。）並びに同法第七条第三項第一号、第十九条第二項第一号、第二十七条第五項において準用する会社法第三百八十九条第四項第一号、技術研究組合法第三十九条第三項第一号、第五十四条第四項第一号、第九十一条第三項第一号、第九十四条第三項第一号、第九十八条第二項第一号、第百二条第三項第一号並びに第百七条第二項第一号の規定に基づく書面の縦覧等とする。</w:t>
      </w:r>
    </w:p>
    <w:p>
      <w:pPr>
        <w:pStyle w:val="Heading4"/>
      </w:pPr>
      <w:r>
        <w:t>第六条（電磁的記録による縦覧等）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第七条（電磁的記録による交付等）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前項各号に掲げる方法は、交付等の相手方がファイルへの記録を出力することによる書面を作成することができるものでなければならない。</w:t>
      </w:r>
    </w:p>
    <w:p>
      <w:pPr>
        <w:pStyle w:val="Heading4"/>
      </w:pPr>
      <w:r>
        <w:t>第八条（電磁的方法による承諾）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前条第一項各号に掲げる方法のうち民間事業者等が使用するもの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r>
        <w:t>この省令は、我が国における産業活動の革新等を図るための産業活力再生特別措置法等の一部を改正する法律（平成二十一年法律第二十九号）の施行の日（平成二十一年六月二十二日）から施行する。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技術研究組合法に係る民間事業者等が行う書面の保存等における情報通信の技術の利用に関する法律施行規則</w:t>
      <w:br/>
      <w:tab/>
      <w:t>（平成二十一年総務省・財務省・文部科学省・厚生労働省・農林水産省・経済産業省・国土交通省・環境省令第一号）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研究組合法に係る民間事業者等が行う書面の保存等における情報通信の技術の利用に関する法律施行規則（平成二十一年総務省・財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