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政府契約の支払遅延防止等に関する法律に規定する情報通信の技術の利用に関する省令</w:t>
        <w:br/>
        <w:t>（平成二十六年財務省令第八十三号）</w:t>
      </w:r>
    </w:p>
    <w:p>
      <w:pPr>
        <w:pStyle w:val="Heading4"/>
      </w:pPr>
      <w:r>
        <w:t>第一条（電磁的記録）</w:t>
      </w:r>
    </w:p>
    <w:p>
      <w:r>
        <w:t>政府契約の支払遅延防止等に関する法律（以下「法」という。）第四条に規定する電磁的記録は、各省各庁の使用に係る電子計算機（入出力装置を含む。以下同じ。）及び相手方の使用に係る電子計算機とを電気通信回線で接続した電子情報処理組織を使用して記録したものとする。</w:t>
      </w:r>
    </w:p>
    <w:p>
      <w:pPr>
        <w:pStyle w:val="Heading4"/>
      </w:pPr>
      <w:r>
        <w:t>第二条（電磁的方法）</w:t>
      </w:r>
    </w:p>
    <w:p>
      <w:r>
        <w:t>法第十一条の二第一項に規定する電磁的方法は、前条に規定する電子情報処理組織により作成された電磁的記録及び当該電子情報処理組織を使用する方法とする。</w:t>
      </w:r>
    </w:p>
    <w:p>
      <w:r>
        <w:br w:type="page"/>
      </w:r>
    </w:p>
    <w:p>
      <w:pPr>
        <w:pStyle w:val="Heading1"/>
      </w:pPr>
      <w:r>
        <w:t>附　則</w:t>
      </w:r>
    </w:p>
    <w:p>
      <w:r>
        <w:t>この省令は、公布の日から施行する。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則（令和二年一二月四日財務省令第七三号）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政府契約の支払遅延防止等に関する法律に規定する情報通信の技術の利用に関する省令</w:t>
      <w:br/>
      <w:tab/>
      <w:t>（平成二十六年財務省令第八十三号）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政府契約の支払遅延防止等に関する法律に規定する情報通信の技術の利用に関する省令（平成二十六年財務省令第八十三号）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