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救急医療用ヘリコプターを用いた救急医療の確保に関する特別措置法施行令</w:t>
        <w:br/>
        <w:t>（平成十九年政令第百九十二号）</w:t>
      </w:r>
    </w:p>
    <w:p>
      <w:r>
        <w:t>救急医療用ヘリコプターを用いた救急医療の確保に関する特別措置法第八条第二項の規定による国の都道府県に対する補助金の額は、各年度において都道府県が同条第一項の規定により補助する額（救急医療用ヘリコプターの運航に関する費用等を勘案して厚生労働大臣が定めるところにより算定した額を限度とする。）に二分の一を乗じて得た額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救急医療用ヘリコプターを用いた救急医療の確保に関する特別措置法施行令</w:t>
      <w:br/>
      <w:tab/>
      <w:t>（平成十九年政令第百九十二号）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救急医療用ヘリコプターを用いた救急医療の確保に関する特別措置法施行令（平成十九年政令第百九十二号）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