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教育職員免許法施行令</w:t>
        <w:br/>
        <w:t>（昭和二十四年政令第三百三十八号）</w:t>
      </w:r>
    </w:p>
    <w:p>
      <w:r>
        <w:t>教育職員免許法第十六条の三第四項の審議会等で政令で定めるものは、中央教育審議会とする。</w:t>
      </w:r>
    </w:p>
    <w:p>
      <w:r>
        <w:br w:type="page"/>
      </w:r>
    </w:p>
    <w:p>
      <w:pPr>
        <w:pStyle w:val="Heading1"/>
      </w:pPr>
      <w:r>
        <w:t>附　則</w:t>
      </w:r>
    </w:p>
    <w:p>
      <w:r>
        <w:t>この政令は、公布の日から施行する。</w:t>
      </w:r>
    </w:p>
    <w:p>
      <w:r>
        <w:br w:type="page"/>
      </w:r>
    </w:p>
    <w:p>
      <w:pPr>
        <w:pStyle w:val="Heading1"/>
      </w:pPr>
      <w:r>
        <w:t>附　則（昭和五三年三月三日政令第二八号）</w:t>
      </w:r>
    </w:p>
    <w:p>
      <w:r>
        <w:t>この政令は、昭和五十三年四月一日から施行する。</w:t>
      </w:r>
    </w:p>
    <w:p>
      <w:pPr>
        <w:pStyle w:val="Heading5"/>
        <w:ind w:left="440"/>
      </w:pPr>
      <w:r>
        <w:t>２</w:t>
      </w:r>
    </w:p>
    <w:p>
      <w:pPr>
        <w:ind w:left="440"/>
      </w:pPr>
      <w:r>
        <w:t>この政令の施行前にした願い出に係る手数料の額については、なお従前の例による。</w:t>
      </w:r>
    </w:p>
    <w:p>
      <w:r>
        <w:br w:type="page"/>
      </w:r>
    </w:p>
    <w:p>
      <w:pPr>
        <w:pStyle w:val="Heading1"/>
      </w:pPr>
      <w:r>
        <w:t>附　則（昭和五九年六月二八日政令第二二九号）</w:t>
      </w:r>
    </w:p>
    <w:p>
      <w:r>
        <w:t>この政令は、昭和五十九年七月一日から施行する。</w:t>
      </w:r>
    </w:p>
    <w:p>
      <w:r>
        <w:br w:type="page"/>
      </w:r>
    </w:p>
    <w:p>
      <w:pPr>
        <w:pStyle w:val="Heading1"/>
      </w:pPr>
      <w:r>
        <w:t>附　則（平成元年三月二二日政令第五五号）</w:t>
      </w:r>
    </w:p>
    <w:p>
      <w:r>
        <w:t>この政令は、平成元年四月一日から施行する。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則（平成二〇年二月二〇日政令第二九号）</w:t>
      </w:r>
    </w:p>
    <w:p>
      <w:r>
        <w:t>この政令は、平成二十年四月一日から施行する。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教育職員免許法施行令</w:t>
      <w:br/>
      <w:tab/>
      <w:t>（昭和二十四年政令第三百三十八号）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教育職員免許法施行令（昭和二十四年政令第三百三十八号）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