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文化審議会令</w:t>
        <w:br/>
        <w:t>（平成十二年政令第二百八十一号）</w:t>
      </w:r>
    </w:p>
    <w:p>
      <w:pPr>
        <w:pStyle w:val="Heading4"/>
      </w:pPr>
      <w:r>
        <w:t>第一条（組織）</w:t>
      </w:r>
    </w:p>
    <w:p>
      <w:r>
        <w:t>文化審議会（以下「審議会」という。）は、委員三十人以内で組織する。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委員は、学識経験のある者のうちから、文部科学大臣が任命する。</w:t>
      </w:r>
    </w:p>
    <w:p>
      <w:pPr>
        <w:pStyle w:val="Heading5"/>
        <w:ind w:left="440"/>
      </w:pPr>
      <w:r>
        <w:t>２</w:t>
      </w:r>
    </w:p>
    <w:p>
      <w:pPr>
        <w:ind w:left="440"/>
      </w:pPr>
      <w:r>
        <w:t>臨時委員は、当該特別の事項に関し学識経験のある者のうちから、文部科学大臣が任命する。</w:t>
      </w:r>
    </w:p>
    <w:p>
      <w:pPr>
        <w:pStyle w:val="Heading5"/>
        <w:ind w:left="440"/>
      </w:pPr>
      <w:r>
        <w:t>３</w:t>
      </w:r>
    </w:p>
    <w:p>
      <w:pPr>
        <w:ind w:left="440"/>
      </w:pPr>
      <w:r>
        <w:t>専門委員は、当該専門の事項に関し学識経験のある者のうちから、文部科学大臣が任命する。</w:t>
      </w:r>
    </w:p>
    <w:p>
      <w:pPr>
        <w:pStyle w:val="Heading4"/>
      </w:pPr>
      <w:r>
        <w:t>第三条（委員の任期等）</w:t>
      </w:r>
    </w:p>
    <w:p>
      <w:r>
        <w:t>委員の任期は、一年とする。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前項の表の上欄に掲げる分科会に属すべき委員、臨時委員及び専門委員は、文部科学大臣が指名する。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4"/>
      </w:pPr>
      <w:r>
        <w:t>第八条（資料の提出等の要求）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第九条（庶務）</w:t>
      </w:r>
    </w:p>
    <w:p>
      <w:r>
        <w:t>審議会の庶務は、文化庁企画調整課において総括し、及び処理する。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この政令は、平成十三年一月六日から施行する。</w:t>
      </w:r>
    </w:p>
    <w:p>
      <w:pPr>
        <w:pStyle w:val="Heading5"/>
        <w:ind w:left="440"/>
      </w:pPr>
      <w:r>
        <w:t>２</w:t>
      </w:r>
    </w:p>
    <w:p>
      <w:pPr>
        <w:ind w:left="440"/>
      </w:pPr>
      <w:r>
        <w:t>文化財分科会は、第五条第一項に定める事務をつかさどるほか、当分の間、文化財保護法附則第四条第二項の規定により審議会の権限に属させられた事項を処理する。</w:t>
      </w:r>
    </w:p>
    <w:p>
      <w:r>
        <w:br w:type="page"/>
      </w:r>
    </w:p>
    <w:p>
      <w:pPr>
        <w:pStyle w:val="Heading1"/>
      </w:pPr>
      <w:r>
        <w:t>附　則（平成一三年六月二九日政令第二二〇号）</w:t>
      </w:r>
    </w:p>
    <w:p>
      <w:r>
        <w:t>この政令は、平成十三年十月一日から施行する。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則（平成三〇年九月二七日政令第二六六号）</w:t>
      </w:r>
    </w:p>
    <w:p>
      <w:pPr>
        <w:pStyle w:val="Heading4"/>
      </w:pPr>
      <w:r>
        <w:t>第一条（施行期日）</w:t>
      </w:r>
    </w:p>
    <w:p>
      <w:r>
        <w:t>この政令は、平成三十年十月一日から施行する。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文化審議会令</w:t>
      <w:br/>
      <w:tab/>
      <w:t>（平成十二年政令第二百八十一号）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文化審議会令（平成十二年政令第二百八十一号）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