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文部省映画及び幻灯画頒布規程</w:t>
        <w:br/>
        <w:t>（昭和二十五年文部省令第二十二号）</w:t>
      </w:r>
    </w:p>
    <w:p>
      <w:pPr>
        <w:pStyle w:val="Heading4"/>
      </w:pPr>
      <w:r>
        <w:t>第一条</w:t>
      </w:r>
    </w:p>
    <w:p>
      <w:r>
        <w:t>文部省が製作した映画又は幻灯画（以下「映画又は幻灯画」という。）の有償頒布については、この省令の定めるとこによる。</w:t>
      </w:r>
    </w:p>
    <w:p>
      <w:pPr>
        <w:pStyle w:val="Heading4"/>
      </w:pPr>
      <w:r>
        <w:t>第二条</w:t>
      </w:r>
    </w:p>
    <w:p>
      <w:r>
        <w:t>映画又は幻灯画の頒布を受けようとする者は、別記様式による申請書を文部大臣に提出するものとする。</w:t>
      </w:r>
    </w:p>
    <w:p>
      <w:pPr>
        <w:pStyle w:val="Heading4"/>
      </w:pPr>
      <w:r>
        <w:t>第三条</w:t>
      </w:r>
    </w:p>
    <w:p>
      <w:r>
        <w:t>映画又は幻灯画の頒布を受けようとする者は、その料金を前納するものとする。</w:t>
      </w:r>
    </w:p>
    <w:p>
      <w:pPr>
        <w:pStyle w:val="Heading4"/>
      </w:pPr>
      <w:r>
        <w:t>第四条</w:t>
      </w:r>
    </w:p>
    <w:p>
      <w:r>
        <w:t>頒布する映画又は幻灯画の題名、内容及び料金については、官報その他に公告するものとする。</w:t>
      </w:r>
    </w:p>
    <w:p>
      <w:pPr>
        <w:pStyle w:val="Heading4"/>
      </w:pPr>
      <w:r>
        <w:t>第五条</w:t>
      </w:r>
    </w:p>
    <w:p>
      <w:r>
        <w:t>第三条の頒布料金は、納入告知書により日本銀行（支店、代理店及び歳入代理店を含む。）に納入するものとする。</w:t>
      </w:r>
    </w:p>
    <w:p>
      <w:pPr>
        <w:pStyle w:val="Heading4"/>
      </w:pPr>
      <w:r>
        <w:t>第六条</w:t>
      </w:r>
    </w:p>
    <w:p>
      <w:r>
        <w:t>映画又は幻灯画の頒布を受けた者（頒布を受けた映画又は幻灯画の譲受人を含む。）は、その映画又は幻灯画について左に掲げる行為をしてはならない。</w:t>
      </w:r>
    </w:p>
    <w:p>
      <w:pPr>
        <w:pStyle w:val="Heading6"/>
        <w:ind w:left="880"/>
      </w:pPr>
      <w:r>
        <w:t>一</w:t>
      </w:r>
    </w:p>
    <w:p>
      <w:pPr>
        <w:ind w:left="880"/>
      </w:pPr>
      <w:r>
        <w:t>内容を変えること</w:t>
      </w:r>
    </w:p>
    <w:p>
      <w:pPr>
        <w:pStyle w:val="Heading6"/>
        <w:ind w:left="880"/>
      </w:pPr>
      <w:r>
        <w:t>二</w:t>
      </w:r>
    </w:p>
    <w:p>
      <w:pPr>
        <w:ind w:left="880"/>
      </w:pPr>
      <w:r>
        <w:t>全部又は一部を複製すること</w:t>
      </w:r>
    </w:p>
    <w:p>
      <w:pPr>
        <w:pStyle w:val="Heading4"/>
      </w:pPr>
      <w:r>
        <w:t>第七条</w:t>
      </w:r>
    </w:p>
    <w:p>
      <w:r>
        <w:t>特別の事由により、この規程によりがたい場合は、文部大臣は適宜その取扱について定めるものとする。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この省令は、昭和二十五年三月一日から適用する。</w:t>
      </w:r>
    </w:p>
    <w:p>
      <w:r>
        <w:br w:type="page"/>
      </w:r>
    </w:p>
    <w:p>
      <w:pPr>
        <w:pStyle w:val="Heading1"/>
      </w:pPr>
      <w:r>
        <w:t>附　則（昭和二七年一〇月二七日文部省令第二五号）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文部省映画及び幻灯画頒布規程</w:t>
      <w:br/>
      <w:tab/>
      <w:t>（昭和二十五年文部省令第二十二号）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文部省映画及び幻灯画頒布規程（昭和二十五年文部省令第二十二号）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