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文部科学省の所管する法令の規定により民間事業者等が行う書面の保存等における情報通信の技術の利用に関する省令</w:t>
        <w:br/>
        <w:t>（平成十七年文部科学省令第三十一号）</w:t>
      </w:r>
    </w:p>
    <w:p>
      <w:pPr>
        <w:pStyle w:val="Heading4"/>
      </w:pPr>
      <w:r>
        <w:t>第一条（趣旨）</w:t>
      </w:r>
    </w:p>
    <w:p>
      <w:r>
        <w:t>民間事業者等が、文部科学省の所管する法令の規定による保存等を、電磁的記録を使用して行う場合については、他の法律及び法律に基づく命令に特別の定めのある場合を除くほか、この省令の定めるところによる。</w:t>
      </w:r>
    </w:p>
    <w:p>
      <w:pPr>
        <w:pStyle w:val="Heading4"/>
      </w:pPr>
      <w:r>
        <w:t>第二条（定義）</w:t>
      </w:r>
    </w:p>
    <w:p>
      <w:r>
        <w:t>この省令において使用する用語は、民間事業者等が行う書面の保存等における情報通信の技術の利用に関する法律（以下「法」という。）において使用する用語の例による。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第一号又は第二号の規定に基づく電磁的記録の保存を行う場合は、必要に応じ電磁的記録に記録された事項を出力することにより、直ちに明瞭かつ整然とした形式で民間事業者等の使用に係る電子計算機その他の機器に表示及び書面を作成できる措置を講じなければならない。</w:t>
      </w:r>
    </w:p>
    <w:p>
      <w:pPr>
        <w:pStyle w:val="Heading5"/>
        <w:ind w:left="440"/>
      </w:pPr>
      <w:r>
        <w:t>３</w:t>
      </w:r>
    </w:p>
    <w:p>
      <w:pPr>
        <w:ind w:left="440"/>
      </w:pPr>
      <w:r>
        <w:t>別表第一の上欄に掲げる法令の同表の下欄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付けた電子計算機の映像面に表示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法第四条第一項の主務省令で定める作成は、別表第二の上欄に掲げる法令の同表の下欄に掲げる規定に基づく書面の作成とする。</w:t>
      </w:r>
    </w:p>
    <w:p>
      <w:pPr>
        <w:pStyle w:val="Heading4"/>
      </w:pPr>
      <w:r>
        <w:t>第六条（電磁的記録による作成）</w:t>
      </w:r>
    </w:p>
    <w:p>
      <w:r>
        <w:t>民間事業者等が、法第四条第一項の規定に基づき、別表第二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別表第二の上欄に掲げる法令の同表の下欄に掲げる規定による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法第五条第一項の主務省令で定める縦覧等は、別表第三の上欄に掲げる法令の同表の下欄に掲げる規定に基づく書面の縦覧等とする。</w:t>
      </w:r>
    </w:p>
    <w:p>
      <w:pPr>
        <w:pStyle w:val="Heading4"/>
      </w:pPr>
      <w:r>
        <w:t>第九条（電磁的記録による縦覧等）</w:t>
      </w:r>
    </w:p>
    <w:p>
      <w:r>
        <w:t>民間事業者等が、法第五条第一項の規定に基づき、別表第三の上欄に掲げる法令の同表の下欄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法第六条第一項の主務省令で定める交付等は、別表第四の上欄に掲げる法令の同表の下欄に掲げる規定に基づく書面の交付等とする。</w:t>
      </w:r>
    </w:p>
    <w:p>
      <w:pPr>
        <w:pStyle w:val="Heading4"/>
      </w:pPr>
      <w:r>
        <w:t>第十一条（電磁的記録による交付等）</w:t>
      </w:r>
    </w:p>
    <w:p>
      <w:r>
        <w:t>民間事業者等が、法第六条第一項の規定に基づき、別表第四の上欄に掲げる法令の同表の下欄に掲げる規定に基づく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第十二条（電磁的方法による交付等の承諾）</w:t>
      </w:r>
    </w:p>
    <w:p>
      <w:r>
        <w:t>民間事業者等が行う書面の保存等における情報通信の技術の利用に関する法律施行令第二条第一項の規定により示すべき電磁的方法の種類及び内容は、次に掲げる事項とする。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この省令は、公布の日から施行する。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附則（平成一七年六月一日文部科学省令第三七号）</w:t>
      </w:r>
    </w:p>
    <w:p>
      <w:pPr>
        <w:pStyle w:val="Heading4"/>
      </w:pPr>
      <w:r>
        <w:t>第一条（施行期日）</w:t>
      </w:r>
    </w:p>
    <w:p>
      <w:r>
        <w:t>この省令は、公布の日から施行する。</w:t>
      </w:r>
    </w:p>
    <w:p>
      <w:r>
        <w:br w:type="page"/>
      </w:r>
    </w:p>
    <w:p>
      <w:pPr>
        <w:pStyle w:val="Heading1"/>
      </w:pPr>
      <w:r>
        <w:t>附則（平成一八年六月二六日文部科学省令第二八号）</w:t>
      </w:r>
    </w:p>
    <w:p>
      <w:pPr>
        <w:pStyle w:val="Heading4"/>
      </w:pPr>
      <w:r>
        <w:t>第一条（施行期日）</w:t>
      </w:r>
    </w:p>
    <w:p>
      <w:r>
        <w:t>この省令は、平成十八年七月一日から施行する。</w:t>
        <w:br/>
        <w:t>ただし、第六条の規定は、公布の日から施行する。</w:t>
      </w:r>
    </w:p>
    <w:p>
      <w:r>
        <w:br w:type="page"/>
      </w:r>
    </w:p>
    <w:p>
      <w:pPr>
        <w:pStyle w:val="Heading1"/>
      </w:pPr>
      <w:r>
        <w:t>附則（平成一九年一〇月一日文部科学省令第三一号）</w:t>
      </w:r>
    </w:p>
    <w:p>
      <w:r>
        <w:t>この省令は、公布の日から施行する。</w:t>
        <w:br/>
        <w:t>ただし、別表第一中文部科学大臣の所管に属する公益信託の引受けの許可及び監督に関する規則（平成十二年総理府・文部省令第七号）の項の改正規定は、平成十九年九月三十日から適用する。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附則（平成二〇年一二月一日文部科学省令第三六号）</w:t>
      </w:r>
    </w:p>
    <w:p>
      <w:pPr>
        <w:pStyle w:val="Heading4"/>
      </w:pPr>
      <w:r>
        <w:t>第一条（施行期日）</w:t>
      </w:r>
    </w:p>
    <w:p>
      <w:r>
        <w:t>この省令は、平成二十年十二月一日から施行する。</w:t>
      </w:r>
    </w:p>
    <w:p>
      <w:pPr>
        <w:pStyle w:val="Heading4"/>
      </w:pPr>
      <w:r>
        <w:t>第二条（文部科学省の所管する法令の規定により民間事業者等が行う書面の保存等における情報通信の技術の利用に関する省令の一部改正に伴う経過措置）</w:t>
      </w:r>
    </w:p>
    <w:p>
      <w:r>
        <w:t>文部科学省の所管する特例民法法人（一般社団法人及び一般財団法人に関する法律及び公益社団法人及び公益財団法人の認定等に関する法律の施行に伴う関係法律の整備等に関する法律第四十二条第二項に規定する特例民法法人をいう。）が、文部科学省の所管する法令の規定により民間事業者等が行う書面の保存等における情報通信の技術の利用に関する省令第三条及び第四条の規定に基づいて行う書面の保存の方法については、第六条の規定による改正後の同令別表第一の規定にかかわらず、なお従前の例による。</w:t>
      </w:r>
    </w:p>
    <w:p>
      <w:r>
        <w:br w:type="page"/>
      </w:r>
    </w:p>
    <w:p>
      <w:pPr>
        <w:pStyle w:val="Heading1"/>
      </w:pPr>
      <w:r>
        <w:t>附則（平成二四年三月二八日文部科学省令第九号）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r>
        <w:br w:type="page"/>
      </w:r>
    </w:p>
    <w:p>
      <w:pPr>
        <w:pStyle w:val="Heading1"/>
      </w:pPr>
      <w:r>
        <w:t>附則（平成二四年九月一四日文部科学省令第三二号）</w:t>
      </w:r>
    </w:p>
    <w:p>
      <w:pPr>
        <w:pStyle w:val="Heading5"/>
        <w:ind w:left="440"/>
      </w:pPr>
      <w:r>
        <w:t>１</w:t>
      </w:r>
    </w:p>
    <w:p>
      <w:pPr>
        <w:ind w:left="440"/>
      </w:pPr>
      <w:r>
        <w:t>この省令は、原子力規制委員会設置法（平成二十四年法律第四十七号）の施行の日（平成二十四年九月十九日）から施行する。</w:t>
      </w:r>
    </w:p>
    <w:p>
      <w:r>
        <w:br w:type="page"/>
      </w:r>
    </w:p>
    <w:p>
      <w:pPr>
        <w:pStyle w:val="Heading1"/>
      </w:pPr>
      <w:r>
        <w:t>附則（平成二五年三月二九日文部科学省令第八号）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文部科学省の所管する法令の規定により民間事業者等が行う書面の保存等における情報通信の技術の利用に関する省令</w:t>
      <w:br/>
      <w:tab/>
      <w:t>（平成十七年文部科学省令第三十一号）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文部科学省の所管する法令の規定により民間事業者等が行う書面の保存等における情報通信の技術の利用に関する省令（平成十七年文部科学省令第三十一号）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