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文部科学省国立研究開発法人審議会令</w:t>
        <w:br/>
        <w:t>（平成二十七年政令第百九十三号）</w:t>
      </w:r>
    </w:p>
    <w:p>
      <w:pPr>
        <w:pStyle w:val="Heading4"/>
      </w:pPr>
      <w:r>
        <w:t>第一条（組織）</w:t>
      </w:r>
    </w:p>
    <w:p>
      <w:r>
        <w:t>文部科学省の国立研究開発法人審議会（以下「審議会」という。）は、委員二十人以内で組織する。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は、学識経験のある者（その者が外国人（日本の国籍を有しない者をいう。以下同じ。）である場合にあっては、研究開発（独立行政法人通則法（平成十一年法律第百三号）第二条第三項に規定する研究開発をいう。以下この条において同じ。）に関して高い識見を有する者）のうちから、文部科学大臣が任命する。</w:t>
      </w:r>
    </w:p>
    <w:p>
      <w:pPr>
        <w:pStyle w:val="Heading5"/>
        <w:ind w:left="440"/>
      </w:pPr>
      <w:r>
        <w:t>２</w:t>
      </w:r>
    </w:p>
    <w:p>
      <w:pPr>
        <w:ind w:left="440"/>
      </w:pPr>
      <w:r>
        <w:t>臨時委員は、当該特別の事項に関し学識経験のある者（その者が外国人である場合にあっては、当該特別の事項に係る研究開発に関して高い識見を有する者）のうちから、文部科学大臣が任命する。</w:t>
      </w:r>
    </w:p>
    <w:p>
      <w:pPr>
        <w:pStyle w:val="Heading5"/>
        <w:ind w:left="440"/>
      </w:pPr>
      <w:r>
        <w:t>３</w:t>
      </w:r>
    </w:p>
    <w:p>
      <w:pPr>
        <w:ind w:left="440"/>
      </w:pPr>
      <w:r>
        <w:t>専門委員は、当該専門の事項に関し学識経験のある者（その者が外国人である場合にあっては、当該専門の事項に係る研究開発に関して高い識見を有する者）のうちから、文部科学大臣が任命する。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部会に部会長を置き、当該部会に属する委員（外国人である委員を除く。）のうちから、当該部会に属する委員が選挙する。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部会長に事故があるときは、当該部会に属する委員（外国人である委員を除く。）のうちから部会長があらかじめ指名する者が、その職務を代理する。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審議会は、会議を開き、議決する場合は、次に掲げる要件を満たさなければならない。</w:t>
      </w:r>
    </w:p>
    <w:p>
      <w:pPr>
        <w:pStyle w:val="Heading6"/>
        <w:ind w:left="880"/>
      </w:pPr>
      <w:r>
        <w:t>一</w:t>
      </w:r>
    </w:p>
    <w:p>
      <w:pPr>
        <w:ind w:left="880"/>
      </w:pPr>
      <w:r>
        <w:t>外国人である委員及び議事に関係のある外国人である臨時委員の数が、委員及び議事に関係のある臨時委員の総数の五分の一を超えないこと。</w:t>
      </w:r>
    </w:p>
    <w:p>
      <w:pPr>
        <w:pStyle w:val="Heading6"/>
        <w:ind w:left="880"/>
      </w:pPr>
      <w:r>
        <w:t>二</w:t>
      </w:r>
    </w:p>
    <w:p>
      <w:pPr>
        <w:ind w:left="880"/>
      </w:pPr>
      <w: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前二項の規定は、部会の議事について準用する。</w:t>
      </w:r>
    </w:p>
    <w:p>
      <w:pPr>
        <w:pStyle w:val="Heading4"/>
      </w:pPr>
      <w:r>
        <w:t>第七条（資料の提出等の要求）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第八条（庶務）</w:t>
      </w:r>
    </w:p>
    <w:p>
      <w:r>
        <w:t>審議会の庶務は、文部科学省科学技術・学術政策局企画評価課において処理する。</w:t>
      </w:r>
    </w:p>
    <w:p>
      <w:pPr>
        <w:pStyle w:val="Heading4"/>
      </w:pPr>
      <w:r>
        <w:t>第九条（審議会の運営）</w:t>
      </w:r>
    </w:p>
    <w:p>
      <w:r>
        <w:t>この政令に定めるもののほかに、議事の手続その他審議会の運営に関し必要な事項は、会長が審議会に諮って定める。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文部科学省国立研究開発法人審議会令</w:t>
      <w:br/>
      <w:tab/>
      <w:t>（平成二十七年政令第百九十三号）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文部科学省国立研究開発法人審議会令（平成二十七年政令第百九十三号）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