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日本中央競馬会の平成二十九事業年度における日本中央競馬会法第二十九条の二第三項の割合を定める政令</w:t>
        <w:br/>
        <w:t>（平成二十九年政令第三十一号）</w:t>
      </w:r>
    </w:p>
    <w:p>
      <w:r>
        <w:t>日本中央競馬会の平成二十九事業年度における日本中央競馬会法第二十九条の二第三項の政令で定める割合は、百分の百とする。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日本中央競馬会の平成二十七事業年度における日本中央競馬会法第二十九条の二第三項の割合を定める政令（平成二十七年政令第七十号）は、廃止する。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日本中央競馬会の平成二十九事業年度における日本中央競馬会法第二十九条の二第三項の割合を定める政令</w:t>
      <w:br/>
      <w:tab/>
      <w:t>（平成二十九年政令第三十一号）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日本中央競馬会の平成二十九事業年度における日本中央競馬会法第二十九条の二第三項の割合を定める政令（平成二十九年政令第三十一号）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