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日本国における国際連合の軍隊の地位に関する協定の実施に伴う地方税法の臨時特例に関する法律</w:t>
        <w:br/>
        <w:t>（昭和二十九年法律第百八十八号）</w:t>
      </w:r>
    </w:p>
    <w:p>
      <w:pPr>
        <w:pStyle w:val="Heading4"/>
      </w:pPr>
      <w:r>
        <w:t>第一条（この法律の目的）</w:t>
      </w:r>
    </w:p>
    <w:p>
      <w:r>
        <w:t>この法律は、日本国における国際連合の軍隊の地位に関する協定を実施するため、地方税法（昭和二十五年法律第二百二十六号）の特例を設けることを目的とする。</w:t>
      </w:r>
    </w:p>
    <w:p>
      <w:pPr>
        <w:pStyle w:val="Heading4"/>
      </w:pPr>
      <w:r>
        <w:t>第二条（用語の意義）</w:t>
      </w:r>
    </w:p>
    <w:p>
      <w:r>
        <w:t>この法律において左の各号に掲げる用語の意義は、当該各号に定めるところによる。</w:t>
      </w:r>
    </w:p>
    <w:p>
      <w:pPr>
        <w:pStyle w:val="Heading6"/>
        <w:ind w:left="880"/>
      </w:pPr>
      <w:r>
        <w:t>一</w:t>
      </w:r>
    </w:p>
    <w:p>
      <w:pPr>
        <w:ind w:left="880"/>
      </w:pPr>
      <w:r>
        <w:t>派遣国</w:t>
      </w:r>
    </w:p>
    <w:p>
      <w:pPr>
        <w:pStyle w:val="Heading6"/>
        <w:ind w:left="880"/>
      </w:pPr>
      <w:r>
        <w:t>二</w:t>
      </w:r>
    </w:p>
    <w:p>
      <w:pPr>
        <w:ind w:left="880"/>
      </w:pPr>
      <w:r>
        <w:t>国際連合の軍隊</w:t>
      </w:r>
    </w:p>
    <w:p>
      <w:pPr>
        <w:pStyle w:val="Heading6"/>
        <w:ind w:left="880"/>
      </w:pPr>
      <w:r>
        <w:t>三</w:t>
      </w:r>
    </w:p>
    <w:p>
      <w:pPr>
        <w:ind w:left="880"/>
      </w:pPr>
      <w:r>
        <w:t>国際連合の軍隊の構成員</w:t>
      </w:r>
    </w:p>
    <w:p>
      <w:pPr>
        <w:pStyle w:val="Heading6"/>
        <w:ind w:left="880"/>
      </w:pPr>
      <w:r>
        <w:t>四</w:t>
      </w:r>
    </w:p>
    <w:p>
      <w:pPr>
        <w:ind w:left="880"/>
      </w:pPr>
      <w:r>
        <w:t>軍属</w:t>
      </w:r>
    </w:p>
    <w:p>
      <w:pPr>
        <w:pStyle w:val="Heading6"/>
        <w:ind w:left="880"/>
      </w:pPr>
      <w:r>
        <w:t>五</w:t>
      </w:r>
    </w:p>
    <w:p>
      <w:pPr>
        <w:ind w:left="880"/>
      </w:pPr>
      <w:r>
        <w:t>家族</w:t>
      </w:r>
    </w:p>
    <w:p>
      <w:pPr>
        <w:pStyle w:val="Heading6"/>
        <w:ind w:left="880"/>
      </w:pPr>
      <w:r>
        <w:t>六</w:t>
      </w:r>
    </w:p>
    <w:p>
      <w:pPr>
        <w:ind w:left="880"/>
      </w:pPr>
      <w:r>
        <w:t>軍人用販売機関等</w:t>
      </w:r>
    </w:p>
    <w:p>
      <w:pPr>
        <w:pStyle w:val="Heading4"/>
      </w:pPr>
      <w:r>
        <w:t>第三条（地方税法の特例）</w:t>
      </w:r>
    </w:p>
    <w:p>
      <w:r>
        <w:t>国際連合の軍隊、国際連合の軍隊の構成員等及び軍人用販売機関等に対する地方税法の適用については、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以下「合衆国軍協定の実施に伴う地方税法の臨時特例法」という。）第三条の規定を準用する。</w:t>
      </w:r>
    </w:p>
    <w:p>
      <w:pPr>
        <w:pStyle w:val="Heading5"/>
        <w:ind w:left="440"/>
      </w:pPr>
      <w:r>
        <w:t>２</w:t>
      </w:r>
    </w:p>
    <w:p>
      <w:pPr>
        <w:ind w:left="440"/>
      </w:pPr>
      <w:r>
        <w:t>国際連合の軍隊の構成員等又は軍人用販売機関等の所有に係る地方税法第百四十五条第三号に規定する自動車に対する自動車税の種別割及びこれらのものの所有に係る同法第四百四十二条第三号に規定する軽自動車等に対する軽自動車税の種別割の賦課徴収については、合衆国軍協定の実施に伴う地方税法の臨時特例法第四条の規定を準用する。</w:t>
      </w:r>
    </w:p>
    <w:p>
      <w:pPr>
        <w:pStyle w:val="Heading5"/>
        <w:ind w:left="440"/>
      </w:pPr>
      <w:r>
        <w:t>３</w:t>
      </w:r>
    </w:p>
    <w:p>
      <w:pPr>
        <w:ind w:left="440"/>
      </w:pPr>
      <w:r>
        <w:t>国際連合の軍隊が使用し、かつ、その権限に基づいて警備している施設内における、又は国際連合の軍隊の構成員、軍属若しくはこれらの者の家族の身体若しくは財産若しくは国際連合の軍隊の財産についての地方税法の適用については、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の規定を準用する。</w:t>
      </w:r>
    </w:p>
    <w:p>
      <w:pPr>
        <w:pStyle w:val="Heading4"/>
      </w:pPr>
      <w:r>
        <w:t>第四条（証明の様式）</w:t>
      </w:r>
    </w:p>
    <w:p>
      <w:r>
        <w:t>前条第一項において準用する合衆国軍協定の実施に伴う地方税法の臨時特例法第三条の表に規定する証明の様式は、総務省令で定める。</w:t>
      </w:r>
    </w:p>
    <w:p>
      <w:r>
        <w:br w:type="page"/>
      </w:r>
    </w:p>
    <w:p>
      <w:pPr>
        <w:pStyle w:val="Heading1"/>
      </w:pPr>
      <w:r>
        <w:t>附　則</w:t>
      </w:r>
    </w:p>
    <w:p>
      <w:r>
        <w:t>この法律は、国連軍協定の効力発生の日から施行し、同協定第二十一条4及び第二十二条4においてそ及されないこととされる場合を除き、同協定の最初の署名の日又はその日の後六箇月以内に同協定第一条に規定する同協定の当事者となる国については、昭和二十七年四月二十八日から適用する。</w:t>
      </w:r>
    </w:p>
    <w:p>
      <w:r>
        <w:br w:type="page"/>
      </w:r>
    </w:p>
    <w:p>
      <w:pPr>
        <w:pStyle w:val="Heading1"/>
      </w:pPr>
      <w:r>
        <w:t>附　則（昭和三三年四月五日法律第五四号）</w:t>
      </w:r>
    </w:p>
    <w:p>
      <w:r>
        <w:t>この法律は、公布の日から施行する。</w:t>
      </w:r>
    </w:p>
    <w:p>
      <w:pPr>
        <w:pStyle w:val="Heading5"/>
        <w:ind w:left="440"/>
      </w:pPr>
      <w:r>
        <w:t>２</w:t>
      </w:r>
    </w:p>
    <w:p>
      <w:pPr>
        <w:ind w:left="440"/>
      </w:pPr>
      <w:r>
        <w:t>この法律による改正後の地方税法（以下「新法」という。）の規定は、この附則において特別の定があるものを除くほか、昭和三十三年度分の地方税から適用する。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一・ニ</w:t>
      </w:r>
    </w:p>
    <w:p>
      <w:pPr>
        <w:ind w:left="880"/>
      </w:pPr>
      <w:r>
        <w:t>略</w:t>
      </w:r>
    </w:p>
    <w:p>
      <w:pPr>
        <w:pStyle w:val="Heading6"/>
        <w:ind w:left="880"/>
      </w:pPr>
      <w:r>
        <w:t>三</w:t>
      </w:r>
    </w:p>
    <w:p>
      <w:pPr>
        <w:ind w:left="880"/>
      </w:pPr>
      <w:r>
        <w:t>第二条（次号、第十号及び第十五号に掲げる改正規定を除く。）、第七条及び第九条並びに附則第四条第二項、第五条第六項から第九項まで、第六条（第六項を除く。）、第十一条、第十四条、第十七条第二項、第二十条（第二項を除く。）、第三十一条第一項から第三項まで、第三十二条第一項から第五項まで、第三十五条から第四十条まで、第四十一条（税理士法（昭和二十六年法律第二百三十七号）第五十一条の二の改正規定に限る。）、第四十二条から第四十八条まで、第五十条並びに第五十二条から第五十六条までの規定</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日本国における国際連合の軍隊の地位に関する協定の実施に伴う地方税法の臨時特例に関する法律</w:t>
      <w:br/>
      <w:tab/>
      <w:t>（昭和二十九年法律第百八十八号）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日本国における国際連合の軍隊の地位に関する協定の実施に伴う地方税法の臨時特例に関する法律（昭和二十九年法律第百八十八号）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