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日本国に駐留するアメリカ合衆国軍隊等の行為による特別損失の補償に関する法律施行規則</w:t>
        <w:br/>
        <w:t>（昭和二十八年総理府令第四十九号）</w:t>
      </w:r>
    </w:p>
    <w:p>
      <w:pPr>
        <w:pStyle w:val="Heading4"/>
      </w:pPr>
      <w:r>
        <w:t>第一条（損失補償の申請）</w:t>
      </w:r>
    </w:p>
    <w:p>
      <w:r>
        <w:t>日本国に駐留するアメリカ合衆国軍隊等の行為による特別損失の補償に関する法律（昭和二十八年法律第二百四十六号。以下「法」という。）第二条第一項の規定により損失補償の申請をしようとする者は、補償されるべき損失の内容を説明する参考資料を添附して、損失補償申請書正副各一通を提出しなければならない。</w:t>
      </w:r>
    </w:p>
    <w:p>
      <w:pPr>
        <w:pStyle w:val="Heading5"/>
        <w:ind w:left="440"/>
      </w:pPr>
      <w:r>
        <w:t>２</w:t>
      </w:r>
    </w:p>
    <w:p>
      <w:pPr>
        <w:ind w:left="440"/>
      </w:pPr>
      <w:r>
        <w:t>前項の損失補償申請書の様式は、別記様式第一号のとおりとする。</w:t>
      </w:r>
    </w:p>
    <w:p>
      <w:pPr>
        <w:pStyle w:val="Heading4"/>
      </w:pPr>
      <w:r>
        <w:t>第二条（異議の申出）</w:t>
      </w:r>
    </w:p>
    <w:p>
      <w:r>
        <w:t>法第三条第一項の規定により異議の申出をしようとする者は、異議申出書を防衛大臣に提出しなければならない。</w:t>
      </w:r>
    </w:p>
    <w:p>
      <w:pPr>
        <w:pStyle w:val="Heading5"/>
        <w:ind w:left="440"/>
      </w:pPr>
      <w:r>
        <w:t>２</w:t>
      </w:r>
    </w:p>
    <w:p>
      <w:pPr>
        <w:ind w:left="440"/>
      </w:pPr>
      <w:r>
        <w:t>前項の異議申出書の様式は、別記様式第二号のとおりとする。</w:t>
      </w:r>
    </w:p>
    <w:p>
      <w:r>
        <w:br w:type="page"/>
      </w:r>
    </w:p>
    <w:p>
      <w:pPr>
        <w:pStyle w:val="Heading1"/>
      </w:pPr>
      <w:r>
        <w:t>附　則</w:t>
      </w:r>
    </w:p>
    <w:p>
      <w:r>
        <w:t>この府令は、法施行の日から施行する。</w:t>
      </w:r>
    </w:p>
    <w:p>
      <w:r>
        <w:br w:type="page"/>
      </w:r>
    </w:p>
    <w:p>
      <w:pPr>
        <w:pStyle w:val="Heading1"/>
      </w:pPr>
      <w:r>
        <w:t>附則（昭和二九年六月一日総理府令第三〇号）</w:t>
      </w:r>
    </w:p>
    <w:p>
      <w:r>
        <w:t>この府令は、日本国における国際連合の軍隊の地位に関する協定の実施に伴う土地等の使用及び漁船の操業制限等に関する法律（昭和二十九年法律第百四十八号）施行の日から施行する。</w:t>
      </w:r>
    </w:p>
    <w:p>
      <w:r>
        <w:br w:type="page"/>
      </w:r>
    </w:p>
    <w:p>
      <w:pPr>
        <w:pStyle w:val="Heading1"/>
      </w:pPr>
      <w:r>
        <w:t>附則（昭和三三年八月一日総理府令第六四号）</w:t>
      </w:r>
    </w:p>
    <w:p>
      <w:r>
        <w:t>この府令は、公布の日から施行する。</w:t>
      </w:r>
    </w:p>
    <w:p>
      <w:r>
        <w:br w:type="page"/>
      </w:r>
    </w:p>
    <w:p>
      <w:pPr>
        <w:pStyle w:val="Heading1"/>
      </w:pPr>
      <w:r>
        <w:t>附則（昭和三七年九月二九日総理府令第五四号）</w:t>
      </w:r>
    </w:p>
    <w:p>
      <w:r>
        <w:t>この府令は、昭和三十七年十月一日から施行する。</w:t>
      </w:r>
    </w:p>
    <w:p>
      <w:r>
        <w:br w:type="page"/>
      </w:r>
    </w:p>
    <w:p>
      <w:pPr>
        <w:pStyle w:val="Heading1"/>
      </w:pPr>
      <w:r>
        <w:t>附則（昭和三七年一〇月二〇日総理府令第六〇号）</w:t>
      </w:r>
    </w:p>
    <w:p>
      <w:r>
        <w:t>この府令は、昭和三十七年十一月一日から施行する。</w:t>
      </w:r>
    </w:p>
    <w:p>
      <w:r>
        <w:br w:type="page"/>
      </w:r>
    </w:p>
    <w:p>
      <w:pPr>
        <w:pStyle w:val="Heading1"/>
      </w:pPr>
      <w:r>
        <w:t>附則（昭和五九年二月二七日総理府令第一号）</w:t>
      </w:r>
    </w:p>
    <w:p>
      <w:r>
        <w:t>この府令は、行政事務の簡素合理化及び整理に関する法律（昭和五十八年法律第八十三号）第一条及び第二条の規定の施行の日（昭和五十九年四月一日）から施行する。</w:t>
      </w:r>
    </w:p>
    <w:p>
      <w:r>
        <w:br w:type="page"/>
      </w:r>
    </w:p>
    <w:p>
      <w:pPr>
        <w:pStyle w:val="Heading1"/>
      </w:pPr>
      <w:r>
        <w:t>附則（昭和六〇年一〇月一九日総理府令第三九号）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附則（平成一五年六月二七日内閣府令第七〇号）</w:t>
      </w:r>
    </w:p>
    <w:p>
      <w:r>
        <w:t>この府令は、平成十五年七月一日から施行する。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日本国に駐留するアメリカ合衆国軍隊等の行為による特別損失の補償に関する法律施行規則</w:t>
      <w:br/>
      <w:tab/>
      <w:t>（昭和二十八年総理府令第四十九号）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日本国に駐留するアメリカ合衆国軍隊等の行為による特別損失の補償に関する法律施行規則（昭和二十八年総理府令第四十九号）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