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明治三十七年法律第十七号（記名ノ国債ヲ目的トスル質権ノ設定ニ関スル法律）</w:t>
        <w:br/>
        <w:t>（明治三十七年法律第十七号）</w:t>
      </w:r>
    </w:p>
    <w:p>
      <w:r>
        <w:t>民法第三百六十四条ノ規定ハ記名ノ国債ニハ之ヲ適用セス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この法律は、会社法の施行の日から施行する。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明治三十七年法律第十七号（記名ノ国債ヲ目的トスル質権ノ設定ニ関スル法律）</w:t>
      <w:br/>
      <w:tab/>
      <w:t>（明治三十七年法律第十七号）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明治三十七年法律第十七号（記名ノ国債ヲ目的トスル質権ノ設定ニ関スル法律）（明治三十七年法律第十七号）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