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明治三十三年大蔵省令第五号（国税犯則取締法第四条ニ依リ収税官吏ノ携帯スヘキ証票様式）</w:t>
        <w:br/>
        <w:t>（明治三十三年大蔵省令第五号）</w:t>
      </w:r>
    </w:p>
    <w:p>
      <w:r>
        <w:t>様式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この省令は、昭和二十三年七月七日から、これを適用する。</w:t>
      </w:r>
    </w:p>
    <w:p>
      <w:r>
        <w:br w:type="page"/>
      </w:r>
    </w:p>
    <w:p>
      <w:pPr>
        <w:pStyle w:val="Heading1"/>
      </w:pPr>
      <w:r>
        <w:t>附　則（昭和二八年八月三一日大蔵省令第七九号）</w:t>
      </w:r>
    </w:p>
    <w:p>
      <w:r>
        <w:t>この省令は、昭和二十八年十月一日から施行する。</w:t>
      </w:r>
    </w:p>
    <w:p>
      <w:r>
        <w:br w:type="page"/>
      </w:r>
    </w:p>
    <w:p>
      <w:pPr>
        <w:pStyle w:val="Heading1"/>
      </w:pPr>
      <w:r>
        <w:t>附　則（昭和四〇年八月一三日大蔵省令第四九号）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則（平成一八年三月三一日総務省・財務省令第二号）</w:t>
      </w:r>
    </w:p>
    <w:p>
      <w:pPr>
        <w:pStyle w:val="Heading4"/>
      </w:pPr>
      <w:r>
        <w:t>第一条（施行期日）</w:t>
      </w:r>
    </w:p>
    <w:p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　則（平成二二年三月三一日総務省・財務省令第一号）</w:t>
      </w:r>
    </w:p>
    <w:p>
      <w:pPr>
        <w:pStyle w:val="Heading4"/>
      </w:pPr>
      <w:r>
        <w:t>第一条（施行期日）</w:t>
      </w:r>
    </w:p>
    <w:p>
      <w:r>
        <w:t>この省令は、平成二十二年六月一日から施行する。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明治三十三年大蔵省令第五号（国税犯則取締法第四条ニ依リ収税官吏ノ携帯スヘキ証票様式）</w:t>
      <w:br/>
      <w:tab/>
      <w:t>（明治三十三年大蔵省令第五号）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明治三十三年大蔵省令第五号（国税犯則取締法第四条ニ依リ収税官吏ノ携帯スヘキ証票様式）（明治三十三年大蔵省令第五号）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