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明治三十二年逓信省令第二十号（商法施行法第百二十二条ノ規定ニ依ル湖川、港湾及沿岸小航海ノ範囲ニ関スル件）</w:t>
        <w:br/>
        <w:t>（明治三十二年逓信省令第二十号）</w:t>
      </w:r>
    </w:p>
    <w:p>
      <w:r>
        <w:t>商法施行法第百二十二条ノ規定ニ依リ湖川、港湾及沿岸小航海ノ範囲左ノ通定ム</w:t>
      </w:r>
    </w:p>
    <w:p>
      <w:pPr>
        <w:pStyle w:val="Heading5"/>
        <w:ind w:left="440"/>
      </w:pPr>
      <w:r>
        <w:t>○１</w:t>
      </w:r>
    </w:p>
    <w:p>
      <w:pPr>
        <w:ind w:left="440"/>
      </w:pPr>
      <w:r>
        <w:t>湖川、港湾ノ範囲ハ平水航路ノ区域ニ依ル</w:t>
      </w:r>
    </w:p>
    <w:p>
      <w:pPr>
        <w:pStyle w:val="Heading5"/>
        <w:ind w:left="440"/>
      </w:pPr>
      <w:r>
        <w:t>○２</w:t>
      </w:r>
    </w:p>
    <w:p>
      <w:pPr>
        <w:ind w:left="440"/>
      </w:pPr>
      <w:r>
        <w:t>沿岸小航海ノ範囲ハ播磨国明石川口西岸ヨリ淡路国江埼ニ至ル線、淡路国押登埼ヨリ阿波国大磯埼ニ至ル線、伊予国佐田岬ヨリ高島ヲ経テ豊後国地蔵埼ニ至ル線及豊前国部埼ヨリ長門国宇部村ニ至ル線ヲ以テ限ラレタル内海ト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明治三十二年逓信省令第二十号（商法施行法第百二十二条ノ規定ニ依ル湖川、港湾及沿岸小航海ノ範囲ニ関スル件）</w:t>
      <w:br/>
      <w:tab/>
      <w:t>（明治三十二年逓信省令第二十号）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明治三十二年逓信省令第二十号（商法施行法第百二十二条ノ規定ニ依ル湖川、港湾及沿岸小航海ノ範囲ニ関スル件）（明治三十二年逓信省令第二十号）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