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明治三十五年法律第五十号（年齢計算ニ関スル法律）</w:t>
        <w:br/>
        <w:t>（明治三十五年法律第五十号）</w:t>
      </w:r>
    </w:p>
    <w:p>
      <w:r>
        <w:t>年齢ハ出生ノ日ヨリ之ヲ起算ス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民法第百四十三条ノ規定ハ年齢ノ計算ニ之ヲ準用ス</w:t>
      </w:r>
    </w:p>
    <w:p>
      <w:pPr>
        <w:pStyle w:val="Heading5"/>
        <w:ind w:left="440"/>
      </w:pPr>
      <w:r>
        <w:t>○３</w:t>
      </w:r>
    </w:p>
    <w:p>
      <w:pPr>
        <w:ind w:left="440"/>
      </w:pPr>
      <w:r>
        <w:t>明治六年第三十六号布告ハ之ヲ廃止ス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明治三十五年法律第五十号（年齢計算ニ関スル法律）</w:t>
      <w:br/>
      <w:tab/>
      <w:t>（明治三十五年法律第五十号）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明治三十五年法律第五十号（年齢計算ニ関スル法律）（明治三十五年法律第五十号）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