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明治三十五年法律第五十号（年齢計算ニ関スル法律）</w:t>
        <w:br/>
        <w:t>（明治三十五年法律第五十号）</w:t>
      </w:r>
    </w:p>
    <w:p>
      <w:pPr>
        <w:pStyle w:val="Heading5"/>
        <w:ind w:left="440"/>
      </w:pPr>
      <w:r>
        <w:t>○１</w:t>
      </w:r>
    </w:p>
    <w:p>
      <w:pPr>
        <w:ind w:left="440"/>
      </w:pPr>
      <w:r>
        <w:t>年齢ハ出生ノ日ヨリ之ヲ起算ス</w:t>
      </w:r>
    </w:p>
    <w:p>
      <w:pPr>
        <w:pStyle w:val="Heading5"/>
        <w:ind w:left="440"/>
      </w:pPr>
      <w:r>
        <w:t>○２</w:t>
      </w:r>
    </w:p>
    <w:p>
      <w:pPr>
        <w:ind w:left="440"/>
      </w:pPr>
      <w:r>
        <w:t>民法第百四十三条ノ規定ハ年齢ノ計算ニ之ヲ準用ス</w:t>
      </w:r>
    </w:p>
    <w:p>
      <w:pPr>
        <w:pStyle w:val="Heading5"/>
        <w:ind w:left="440"/>
      </w:pPr>
      <w:r>
        <w:t>○３</w:t>
      </w:r>
    </w:p>
    <w:p>
      <w:pPr>
        <w:ind w:left="440"/>
      </w:pPr>
      <w:r>
        <w:t>明治六年第三十六号布告ハ之ヲ廃止ス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明治三十五年法律第五十号（年齢計算ニ関スル法律）</w:t>
      <w:br/>
      <w:tab/>
      <w:t>（明治三十五年法律第五十号）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明治三十五年法律第五十号（年齢計算ニ関スル法律）（明治三十五年法律第五十号）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